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charts/chart7.xml" ContentType="application/vnd.openxmlformats-officedocument.drawingml.chart+xml"/>
  <Override PartName="/word/theme/themeOverride6.xml" ContentType="application/vnd.openxmlformats-officedocument.themeOverride+xml"/>
  <Override PartName="/word/charts/chart8.xml" ContentType="application/vnd.openxmlformats-officedocument.drawingml.chart+xml"/>
  <Override PartName="/word/theme/themeOverride7.xml" ContentType="application/vnd.openxmlformats-officedocument.themeOverride+xml"/>
  <Override PartName="/word/charts/chart9.xml" ContentType="application/vnd.openxmlformats-officedocument.drawingml.chart+xml"/>
  <Override PartName="/word/theme/themeOverride8.xml" ContentType="application/vnd.openxmlformats-officedocument.themeOverride+xml"/>
  <Override PartName="/word/charts/chart10.xml" ContentType="application/vnd.openxmlformats-officedocument.drawingml.chart+xml"/>
  <Override PartName="/word/theme/themeOverride9.xml" ContentType="application/vnd.openxmlformats-officedocument.themeOverride+xml"/>
  <Override PartName="/word/charts/chart11.xml" ContentType="application/vnd.openxmlformats-officedocument.drawingml.chart+xml"/>
  <Override PartName="/word/theme/themeOverride10.xml" ContentType="application/vnd.openxmlformats-officedocument.themeOverride+xml"/>
  <Override PartName="/word/charts/chart12.xml" ContentType="application/vnd.openxmlformats-officedocument.drawingml.chart+xml"/>
  <Override PartName="/word/theme/themeOverride11.xml" ContentType="application/vnd.openxmlformats-officedocument.themeOverride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theme/themeOverride12.xml" ContentType="application/vnd.openxmlformats-officedocument.themeOverride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theme/themeOverride13.xml" ContentType="application/vnd.openxmlformats-officedocument.themeOverride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9A2" w:rsidRPr="00FD19A2" w:rsidRDefault="00EE6A7C" w:rsidP="00FD19A2">
      <w:pPr>
        <w:tabs>
          <w:tab w:val="right" w:leader="dot" w:pos="9356"/>
        </w:tabs>
        <w:spacing w:after="0"/>
        <w:ind w:left="568" w:hanging="284"/>
        <w:jc w:val="right"/>
        <w:rPr>
          <w:rFonts w:ascii="Times New Roman" w:eastAsia="Calibri" w:hAnsi="Times New Roman" w:cs="Times New Roman"/>
          <w:bCs/>
          <w:noProof/>
          <w:sz w:val="28"/>
          <w:szCs w:val="28"/>
        </w:rPr>
      </w:pPr>
      <w:bookmarkStart w:id="0" w:name="_Toc368988873"/>
      <w:bookmarkStart w:id="1" w:name="_Toc400529656"/>
      <w:bookmarkStart w:id="2" w:name="_Toc430947229"/>
      <w:r>
        <w:rPr>
          <w:rFonts w:ascii="Times New Roman" w:eastAsia="Calibri" w:hAnsi="Times New Roman" w:cs="Times New Roman"/>
          <w:bCs/>
          <w:noProof/>
          <w:sz w:val="28"/>
          <w:szCs w:val="28"/>
        </w:rPr>
        <w:t>П</w:t>
      </w:r>
      <w:r w:rsidR="00FD19A2" w:rsidRPr="00FD19A2">
        <w:rPr>
          <w:rFonts w:ascii="Times New Roman" w:eastAsia="Calibri" w:hAnsi="Times New Roman" w:cs="Times New Roman"/>
          <w:bCs/>
          <w:noProof/>
          <w:sz w:val="28"/>
          <w:szCs w:val="28"/>
        </w:rPr>
        <w:t>риложение 1</w:t>
      </w:r>
    </w:p>
    <w:p w:rsidR="00FD19A2" w:rsidRPr="00FD19A2" w:rsidRDefault="00FD19A2" w:rsidP="00FD19A2">
      <w:pPr>
        <w:tabs>
          <w:tab w:val="right" w:leader="dot" w:pos="9356"/>
        </w:tabs>
        <w:spacing w:after="0"/>
        <w:ind w:left="568" w:hanging="284"/>
        <w:jc w:val="right"/>
        <w:rPr>
          <w:rFonts w:ascii="Times New Roman" w:eastAsia="Calibri" w:hAnsi="Times New Roman" w:cs="Times New Roman"/>
          <w:bCs/>
          <w:noProof/>
          <w:sz w:val="28"/>
          <w:szCs w:val="28"/>
        </w:rPr>
      </w:pPr>
      <w:r w:rsidRPr="00FD19A2">
        <w:rPr>
          <w:rFonts w:ascii="Times New Roman" w:eastAsia="Calibri" w:hAnsi="Times New Roman" w:cs="Times New Roman"/>
          <w:bCs/>
          <w:noProof/>
          <w:sz w:val="28"/>
          <w:szCs w:val="28"/>
        </w:rPr>
        <w:t xml:space="preserve">к прогнозу социально-экономического </w:t>
      </w:r>
    </w:p>
    <w:p w:rsidR="00FD19A2" w:rsidRPr="00FD19A2" w:rsidRDefault="00FD19A2" w:rsidP="00FD19A2">
      <w:pPr>
        <w:tabs>
          <w:tab w:val="right" w:leader="dot" w:pos="9356"/>
        </w:tabs>
        <w:spacing w:after="0"/>
        <w:ind w:left="568" w:hanging="284"/>
        <w:jc w:val="right"/>
        <w:rPr>
          <w:rFonts w:ascii="Times New Roman" w:eastAsia="Calibri" w:hAnsi="Times New Roman" w:cs="Times New Roman"/>
          <w:bCs/>
          <w:noProof/>
          <w:sz w:val="28"/>
          <w:szCs w:val="28"/>
        </w:rPr>
      </w:pPr>
      <w:r w:rsidRPr="00FD19A2">
        <w:rPr>
          <w:rFonts w:ascii="Times New Roman" w:eastAsia="Calibri" w:hAnsi="Times New Roman" w:cs="Times New Roman"/>
          <w:bCs/>
          <w:noProof/>
          <w:sz w:val="28"/>
          <w:szCs w:val="28"/>
        </w:rPr>
        <w:t xml:space="preserve">развития Петропавловск-Камчатского </w:t>
      </w:r>
    </w:p>
    <w:p w:rsidR="00FD19A2" w:rsidRPr="00EE6A7C" w:rsidRDefault="00FD19A2" w:rsidP="00FD19A2">
      <w:pPr>
        <w:tabs>
          <w:tab w:val="right" w:leader="dot" w:pos="9356"/>
        </w:tabs>
        <w:spacing w:after="0"/>
        <w:ind w:left="568" w:hanging="284"/>
        <w:jc w:val="right"/>
        <w:rPr>
          <w:rFonts w:ascii="Times New Roman" w:eastAsia="Calibri" w:hAnsi="Times New Roman" w:cs="Times New Roman"/>
          <w:bCs/>
          <w:noProof/>
          <w:sz w:val="28"/>
          <w:szCs w:val="28"/>
        </w:rPr>
      </w:pPr>
      <w:r w:rsidRPr="00FD19A2">
        <w:rPr>
          <w:rFonts w:ascii="Times New Roman" w:eastAsia="Calibri" w:hAnsi="Times New Roman" w:cs="Times New Roman"/>
          <w:bCs/>
          <w:noProof/>
          <w:sz w:val="28"/>
          <w:szCs w:val="28"/>
        </w:rPr>
        <w:t>городского округа на 201</w:t>
      </w:r>
      <w:r>
        <w:rPr>
          <w:rFonts w:ascii="Times New Roman" w:eastAsia="Calibri" w:hAnsi="Times New Roman" w:cs="Times New Roman"/>
          <w:bCs/>
          <w:noProof/>
          <w:sz w:val="28"/>
          <w:szCs w:val="28"/>
        </w:rPr>
        <w:t>7</w:t>
      </w:r>
      <w:r w:rsidRPr="00FD19A2">
        <w:rPr>
          <w:rFonts w:ascii="Times New Roman" w:eastAsia="Calibri" w:hAnsi="Times New Roman" w:cs="Times New Roman"/>
          <w:bCs/>
          <w:noProof/>
          <w:sz w:val="28"/>
          <w:szCs w:val="28"/>
        </w:rPr>
        <w:t xml:space="preserve"> год </w:t>
      </w:r>
      <w:r w:rsidRPr="00EE6A7C">
        <w:rPr>
          <w:rFonts w:ascii="Times New Roman" w:eastAsia="Calibri" w:hAnsi="Times New Roman" w:cs="Times New Roman"/>
          <w:bCs/>
          <w:noProof/>
          <w:sz w:val="28"/>
          <w:szCs w:val="28"/>
        </w:rPr>
        <w:t xml:space="preserve">и плановый </w:t>
      </w:r>
    </w:p>
    <w:p w:rsidR="00FD19A2" w:rsidRPr="00EE6A7C" w:rsidRDefault="00FD19A2" w:rsidP="00FD19A2">
      <w:pPr>
        <w:tabs>
          <w:tab w:val="right" w:leader="dot" w:pos="9356"/>
        </w:tabs>
        <w:spacing w:after="0"/>
        <w:ind w:left="568" w:hanging="284"/>
        <w:jc w:val="right"/>
        <w:rPr>
          <w:rFonts w:ascii="Times New Roman" w:eastAsia="Calibri" w:hAnsi="Times New Roman" w:cs="Times New Roman"/>
          <w:bCs/>
          <w:noProof/>
          <w:sz w:val="28"/>
          <w:szCs w:val="28"/>
        </w:rPr>
      </w:pPr>
      <w:r w:rsidRPr="00EE6A7C">
        <w:rPr>
          <w:rFonts w:ascii="Times New Roman" w:eastAsia="Calibri" w:hAnsi="Times New Roman" w:cs="Times New Roman"/>
          <w:bCs/>
          <w:noProof/>
          <w:sz w:val="28"/>
          <w:szCs w:val="28"/>
        </w:rPr>
        <w:t>период до 2018 и 2019 годов</w:t>
      </w:r>
    </w:p>
    <w:p w:rsidR="00F5083F" w:rsidRPr="00B92D1B" w:rsidRDefault="00F5083F" w:rsidP="00B92D1B">
      <w:pPr>
        <w:keepNext/>
        <w:keepLines/>
        <w:spacing w:before="480" w:after="0"/>
        <w:ind w:firstLine="0"/>
        <w:jc w:val="center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  <w:r w:rsidRPr="00F5083F">
        <w:rPr>
          <w:rFonts w:ascii="Times New Roman" w:eastAsia="Times New Roman" w:hAnsi="Times New Roman" w:cs="Times New Roman"/>
          <w:bCs/>
          <w:sz w:val="28"/>
          <w:szCs w:val="28"/>
        </w:rPr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564013045"/>
        <w:docPartObj>
          <w:docPartGallery w:val="Table of Contents"/>
          <w:docPartUnique/>
        </w:docPartObj>
      </w:sdtPr>
      <w:sdtEndPr/>
      <w:sdtContent>
        <w:p w:rsidR="00806C19" w:rsidRDefault="00806C19" w:rsidP="006E7250">
          <w:pPr>
            <w:pStyle w:val="afa"/>
            <w:spacing w:before="0"/>
            <w:ind w:firstLine="0"/>
          </w:pPr>
        </w:p>
        <w:p w:rsidR="000C6AE5" w:rsidRDefault="00806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5927685" w:history="1">
            <w:r w:rsidR="000C6AE5" w:rsidRPr="00305D85">
              <w:rPr>
                <w:rStyle w:val="af9"/>
              </w:rPr>
              <w:t>1. Общие положения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_Toc465927685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2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86" w:history="1">
            <w:r w:rsidR="000C6AE5" w:rsidRPr="00305D85">
              <w:rPr>
                <w:rStyle w:val="af9"/>
                <w:lang w:eastAsia="ru-RU"/>
              </w:rPr>
              <w:t>2. </w:t>
            </w:r>
            <w:r w:rsidR="000C6AE5" w:rsidRPr="00305D85">
              <w:rPr>
                <w:rStyle w:val="af9"/>
              </w:rPr>
              <w:t>Краткая характеристика сценарных условий и о</w:t>
            </w:r>
            <w:r w:rsidR="000C6AE5" w:rsidRPr="00305D85">
              <w:rPr>
                <w:rStyle w:val="af9"/>
                <w:lang w:eastAsia="ru-RU"/>
              </w:rPr>
              <w:t>бщая оценка социально-экономической ситуации в городском округе за отчетный период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_Toc465927686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2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87" w:history="1">
            <w:r w:rsidR="000C6AE5" w:rsidRPr="00305D85">
              <w:rPr>
                <w:rStyle w:val="af9"/>
              </w:rPr>
              <w:t>3. Промышленность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_Toc465927687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6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88" w:history="1">
            <w:r w:rsidR="000C6AE5" w:rsidRPr="00305D85">
              <w:rPr>
                <w:rStyle w:val="af9"/>
              </w:rPr>
              <w:t>4. Инвестиции, строительство и градостроительная политика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_Toc465927688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12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89" w:history="1">
            <w:r w:rsidR="000C6AE5" w:rsidRPr="00305D85">
              <w:rPr>
                <w:rStyle w:val="af9"/>
                <w:lang w:eastAsia="ru-RU"/>
              </w:rPr>
              <w:t>5. Жилищная политика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_Toc465927689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22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90" w:history="1">
            <w:r w:rsidR="000C6AE5" w:rsidRPr="00305D85">
              <w:rPr>
                <w:rStyle w:val="af9"/>
              </w:rPr>
              <w:t>6. Потребительский рынок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_Toc465927690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25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91" w:history="1">
            <w:r w:rsidR="000C6AE5" w:rsidRPr="00305D85">
              <w:rPr>
                <w:rStyle w:val="af9"/>
              </w:rPr>
              <w:t>7. Демография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_Toc465927691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29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92" w:history="1">
            <w:r w:rsidR="000C6AE5" w:rsidRPr="00305D85">
              <w:rPr>
                <w:rStyle w:val="af9"/>
                <w:lang w:eastAsia="ru-RU"/>
              </w:rPr>
              <w:t>8. Рынок труда и занятость населения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_Toc465927692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34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93" w:history="1">
            <w:r w:rsidR="000C6AE5" w:rsidRPr="00305D85">
              <w:rPr>
                <w:rStyle w:val="af9"/>
              </w:rPr>
              <w:t>9. Доходы населения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_Toc465927693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36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94" w:history="1">
            <w:r w:rsidR="000C6AE5" w:rsidRPr="00305D85">
              <w:rPr>
                <w:rStyle w:val="af9"/>
                <w:lang w:eastAsia="ru-RU"/>
              </w:rPr>
              <w:t>10. Инфляция, индекс потребительских цен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_Toc465927694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38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95" w:history="1">
            <w:r w:rsidR="000C6AE5" w:rsidRPr="00305D85">
              <w:rPr>
                <w:rStyle w:val="af9"/>
              </w:rPr>
              <w:t>11. Поддержка и развитие малого и среднего предпринимательства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_Toc465927695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39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96" w:history="1">
            <w:r w:rsidR="000C6AE5" w:rsidRPr="00305D85">
              <w:rPr>
                <w:rStyle w:val="af9"/>
              </w:rPr>
              <w:t>12. Социальная поддержка населения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_Toc465927696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41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97" w:history="1">
            <w:r w:rsidR="000C6AE5" w:rsidRPr="00305D85">
              <w:rPr>
                <w:rStyle w:val="af9"/>
              </w:rPr>
              <w:t>13. Образование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_Toc465927697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47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98" w:history="1">
            <w:r w:rsidR="000C6AE5" w:rsidRPr="00305D85">
              <w:rPr>
                <w:rStyle w:val="af9"/>
              </w:rPr>
              <w:t>14. Обеспечение населения услугами культуры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_Toc465927698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52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699" w:history="1">
            <w:r w:rsidR="000C6AE5" w:rsidRPr="00305D85">
              <w:rPr>
                <w:rStyle w:val="af9"/>
              </w:rPr>
              <w:t>15. Физическая культура и спорт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_Toc465927699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54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700" w:history="1">
            <w:r w:rsidR="000C6AE5" w:rsidRPr="00305D85">
              <w:rPr>
                <w:rStyle w:val="af9"/>
              </w:rPr>
              <w:t>16. Молодежная политика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_Toc465927700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56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701" w:history="1">
            <w:r w:rsidR="000C6AE5" w:rsidRPr="00305D85">
              <w:rPr>
                <w:rStyle w:val="af9"/>
              </w:rPr>
              <w:t>17. Бюджет и финансовые ресурсы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_Toc465927701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58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702" w:history="1">
            <w:r w:rsidR="000C6AE5" w:rsidRPr="00305D85">
              <w:rPr>
                <w:rStyle w:val="af9"/>
              </w:rPr>
              <w:t>18. Управление муниципальным имуществом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_Toc465927702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69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703" w:history="1">
            <w:r w:rsidR="000C6AE5" w:rsidRPr="00305D85">
              <w:rPr>
                <w:rStyle w:val="af9"/>
              </w:rPr>
              <w:t>19. Управление земельными ресурсами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_Toc465927703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72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704" w:history="1">
            <w:r w:rsidR="000C6AE5" w:rsidRPr="00305D85">
              <w:rPr>
                <w:rStyle w:val="af9"/>
              </w:rPr>
              <w:t>20. Жилищно-коммунальное хозяйство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_Toc465927704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75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705" w:history="1">
            <w:r w:rsidR="000C6AE5" w:rsidRPr="00305D85">
              <w:rPr>
                <w:rStyle w:val="af9"/>
              </w:rPr>
              <w:t>21. Благоустройство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_Toc465927705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79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706" w:history="1">
            <w:r w:rsidR="000C6AE5" w:rsidRPr="00305D85">
              <w:rPr>
                <w:rStyle w:val="af9"/>
              </w:rPr>
              <w:t>22. Экология и охрана окружающей среды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_Toc465927706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82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707" w:history="1">
            <w:r w:rsidR="000C6AE5" w:rsidRPr="00305D85">
              <w:rPr>
                <w:rStyle w:val="af9"/>
              </w:rPr>
              <w:t>23. Транспорт и дорожная деятельность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_Toc465927707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84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708" w:history="1">
            <w:r w:rsidR="000C6AE5" w:rsidRPr="00305D85">
              <w:rPr>
                <w:rStyle w:val="af9"/>
              </w:rPr>
              <w:t>24. Связь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_Toc465927708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87</w:t>
            </w:r>
            <w:r w:rsidR="000C6AE5">
              <w:rPr>
                <w:webHidden/>
              </w:rPr>
              <w:fldChar w:fldCharType="end"/>
            </w:r>
          </w:hyperlink>
        </w:p>
        <w:p w:rsidR="000C6AE5" w:rsidRDefault="00EB2C19">
          <w:pPr>
            <w:pStyle w:val="12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ru-RU"/>
            </w:rPr>
          </w:pPr>
          <w:hyperlink w:anchor="_Toc465927709" w:history="1">
            <w:r w:rsidR="000C6AE5" w:rsidRPr="00305D85">
              <w:rPr>
                <w:rStyle w:val="af9"/>
              </w:rPr>
              <w:t>25. Туризм</w:t>
            </w:r>
            <w:r w:rsidR="000C6AE5">
              <w:rPr>
                <w:webHidden/>
              </w:rPr>
              <w:tab/>
            </w:r>
            <w:r w:rsidR="000C6AE5">
              <w:rPr>
                <w:webHidden/>
              </w:rPr>
              <w:fldChar w:fldCharType="begin"/>
            </w:r>
            <w:r w:rsidR="000C6AE5">
              <w:rPr>
                <w:webHidden/>
              </w:rPr>
              <w:instrText xml:space="preserve"> PAGEREF _Toc465927709 \h </w:instrText>
            </w:r>
            <w:r w:rsidR="000C6AE5">
              <w:rPr>
                <w:webHidden/>
              </w:rPr>
            </w:r>
            <w:r w:rsidR="000C6AE5">
              <w:rPr>
                <w:webHidden/>
              </w:rPr>
              <w:fldChar w:fldCharType="separate"/>
            </w:r>
            <w:r w:rsidR="00986BEE">
              <w:rPr>
                <w:webHidden/>
              </w:rPr>
              <w:t>88</w:t>
            </w:r>
            <w:r w:rsidR="000C6AE5">
              <w:rPr>
                <w:webHidden/>
              </w:rPr>
              <w:fldChar w:fldCharType="end"/>
            </w:r>
          </w:hyperlink>
        </w:p>
        <w:p w:rsidR="00EE6A7C" w:rsidRPr="00B92D1B" w:rsidRDefault="00806C19" w:rsidP="00B92D1B">
          <w:r>
            <w:rPr>
              <w:b/>
              <w:bCs/>
            </w:rPr>
            <w:fldChar w:fldCharType="end"/>
          </w:r>
        </w:p>
      </w:sdtContent>
    </w:sdt>
    <w:p w:rsidR="000C6AE5" w:rsidRDefault="000C6AE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FD19A2" w:rsidRDefault="00FD19A2" w:rsidP="001F696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1F696A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  <w:bookmarkStart w:id="3" w:name="_Toc368988871"/>
      <w:bookmarkStart w:id="4" w:name="_Toc400467619"/>
      <w:bookmarkStart w:id="5" w:name="_Toc400467724"/>
      <w:bookmarkStart w:id="6" w:name="_Toc400529654"/>
      <w:bookmarkStart w:id="7" w:name="_Toc430946754"/>
      <w:bookmarkStart w:id="8" w:name="_Toc430947227"/>
      <w:r w:rsidR="001F696A" w:rsidRPr="001F696A">
        <w:rPr>
          <w:rFonts w:ascii="Times New Roman" w:hAnsi="Times New Roman" w:cs="Times New Roman"/>
          <w:b/>
          <w:sz w:val="28"/>
        </w:rPr>
        <w:t xml:space="preserve"> </w:t>
      </w:r>
      <w:r w:rsidRPr="001F696A">
        <w:rPr>
          <w:rFonts w:ascii="Times New Roman" w:hAnsi="Times New Roman" w:cs="Times New Roman"/>
          <w:b/>
          <w:sz w:val="28"/>
        </w:rPr>
        <w:t xml:space="preserve">по основным параметрам прогноза социально-экономического развития </w:t>
      </w:r>
      <w:proofErr w:type="gramStart"/>
      <w:r w:rsidRPr="001F696A">
        <w:rPr>
          <w:rFonts w:ascii="Times New Roman" w:hAnsi="Times New Roman" w:cs="Times New Roman"/>
          <w:b/>
          <w:sz w:val="28"/>
        </w:rPr>
        <w:t>Петропавловск-Камчатского</w:t>
      </w:r>
      <w:proofErr w:type="gramEnd"/>
      <w:r w:rsidRPr="001F696A">
        <w:rPr>
          <w:rFonts w:ascii="Times New Roman" w:hAnsi="Times New Roman" w:cs="Times New Roman"/>
          <w:b/>
          <w:sz w:val="28"/>
        </w:rPr>
        <w:t xml:space="preserve"> городского округа на 2017 год и</w:t>
      </w:r>
      <w:bookmarkStart w:id="9" w:name="_Toc368988872"/>
      <w:bookmarkStart w:id="10" w:name="_Toc400467620"/>
      <w:bookmarkStart w:id="11" w:name="_Toc400467725"/>
      <w:bookmarkStart w:id="12" w:name="_Toc400529655"/>
      <w:bookmarkStart w:id="13" w:name="_Toc430946652"/>
      <w:bookmarkStart w:id="14" w:name="_Toc430946755"/>
      <w:bookmarkStart w:id="15" w:name="_Toc430947228"/>
      <w:bookmarkEnd w:id="3"/>
      <w:bookmarkEnd w:id="4"/>
      <w:bookmarkEnd w:id="5"/>
      <w:bookmarkEnd w:id="6"/>
      <w:bookmarkEnd w:id="7"/>
      <w:bookmarkEnd w:id="8"/>
      <w:r w:rsidR="001F696A" w:rsidRPr="001F696A">
        <w:rPr>
          <w:rFonts w:ascii="Times New Roman" w:hAnsi="Times New Roman" w:cs="Times New Roman"/>
          <w:b/>
          <w:sz w:val="28"/>
        </w:rPr>
        <w:t xml:space="preserve"> </w:t>
      </w:r>
      <w:r w:rsidRPr="001F696A">
        <w:rPr>
          <w:rFonts w:ascii="Times New Roman" w:hAnsi="Times New Roman" w:cs="Times New Roman"/>
          <w:b/>
          <w:sz w:val="28"/>
        </w:rPr>
        <w:t xml:space="preserve">плановый период 2018 </w:t>
      </w:r>
      <w:bookmarkEnd w:id="9"/>
      <w:bookmarkEnd w:id="10"/>
      <w:bookmarkEnd w:id="11"/>
      <w:bookmarkEnd w:id="12"/>
      <w:r w:rsidRPr="001F696A">
        <w:rPr>
          <w:rFonts w:ascii="Times New Roman" w:hAnsi="Times New Roman" w:cs="Times New Roman"/>
          <w:b/>
          <w:sz w:val="28"/>
        </w:rPr>
        <w:t>и 2019 годов</w:t>
      </w:r>
      <w:bookmarkEnd w:id="13"/>
      <w:bookmarkEnd w:id="14"/>
      <w:bookmarkEnd w:id="15"/>
    </w:p>
    <w:p w:rsidR="001F696A" w:rsidRPr="001F696A" w:rsidRDefault="001F696A" w:rsidP="001F696A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317278" w:rsidRPr="003F4369" w:rsidRDefault="00317278" w:rsidP="001F696A">
      <w:pPr>
        <w:pStyle w:val="1"/>
      </w:pPr>
      <w:bookmarkStart w:id="16" w:name="_Toc465927685"/>
      <w:r w:rsidRPr="003F4369">
        <w:t>1</w:t>
      </w:r>
      <w:r w:rsidR="007E4494">
        <w:t>.</w:t>
      </w:r>
      <w:r w:rsidRPr="003F4369">
        <w:t xml:space="preserve"> Общие положения</w:t>
      </w:r>
      <w:bookmarkEnd w:id="0"/>
      <w:bookmarkEnd w:id="1"/>
      <w:bookmarkEnd w:id="2"/>
      <w:bookmarkEnd w:id="16"/>
    </w:p>
    <w:p w:rsidR="00922E89" w:rsidRPr="00BE4A04" w:rsidRDefault="00317278" w:rsidP="00922E89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развития Петропавловск-Камчатского городского округа на 2017 год и плановый период 2018 и 2019 годов (далее </w:t>
      </w:r>
      <w:r w:rsidR="00125714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72DF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</w:t>
      </w:r>
      <w:r w:rsidR="00D41322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 в соответствии с Порядком </w:t>
      </w:r>
      <w:r w:rsidRPr="00BE4A04">
        <w:rPr>
          <w:rFonts w:ascii="Times New Roman" w:hAnsi="Times New Roman" w:cs="Times New Roman"/>
          <w:sz w:val="28"/>
          <w:szCs w:val="28"/>
        </w:rPr>
        <w:t xml:space="preserve">разработки и корректировки, общественного обсуждения, осуществления мониторинга и контроля реализации прогноза социально-экономического развития Петропавловск-Камчатского городского округа на среднесрочный период, утвержденным постановлением администрации Петропавловск-Камчатского городского округа от 03.06.2016 № </w:t>
      </w:r>
      <w:r w:rsidR="00125714" w:rsidRPr="00BE4A04">
        <w:rPr>
          <w:rFonts w:ascii="Times New Roman" w:hAnsi="Times New Roman" w:cs="Times New Roman"/>
          <w:sz w:val="28"/>
          <w:szCs w:val="28"/>
        </w:rPr>
        <w:t xml:space="preserve">878, </w:t>
      </w:r>
      <w:r w:rsidR="009217C2" w:rsidRPr="00BE4A04">
        <w:rPr>
          <w:rFonts w:ascii="Times New Roman" w:hAnsi="Times New Roman" w:cs="Times New Roman"/>
          <w:sz w:val="28"/>
          <w:szCs w:val="28"/>
        </w:rPr>
        <w:t>на основе</w:t>
      </w:r>
      <w:r w:rsidR="00125714" w:rsidRPr="00BE4A04">
        <w:rPr>
          <w:rFonts w:ascii="Times New Roman" w:hAnsi="Times New Roman" w:cs="Times New Roman"/>
          <w:sz w:val="28"/>
          <w:szCs w:val="28"/>
        </w:rPr>
        <w:t xml:space="preserve"> сценарных условий</w:t>
      </w:r>
      <w:r w:rsidR="009217C2" w:rsidRPr="00BE4A04">
        <w:rPr>
          <w:rFonts w:ascii="Times New Roman" w:hAnsi="Times New Roman" w:cs="Times New Roman"/>
          <w:sz w:val="28"/>
          <w:szCs w:val="28"/>
        </w:rPr>
        <w:t xml:space="preserve"> функционирования экономики</w:t>
      </w:r>
      <w:r w:rsidR="00A5136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63EE8" w:rsidRPr="00BE4A04">
        <w:rPr>
          <w:rFonts w:ascii="Times New Roman" w:hAnsi="Times New Roman" w:cs="Times New Roman"/>
          <w:sz w:val="28"/>
          <w:szCs w:val="28"/>
        </w:rPr>
        <w:t>,</w:t>
      </w:r>
      <w:r w:rsidR="002D0458" w:rsidRPr="00BE4A04">
        <w:rPr>
          <w:rFonts w:ascii="Times New Roman" w:hAnsi="Times New Roman" w:cs="Times New Roman"/>
          <w:sz w:val="28"/>
          <w:szCs w:val="28"/>
        </w:rPr>
        <w:t xml:space="preserve"> основных</w:t>
      </w:r>
      <w:proofErr w:type="gramEnd"/>
      <w:r w:rsidR="002D0458" w:rsidRPr="00BE4A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458" w:rsidRPr="00BE4A04">
        <w:rPr>
          <w:rFonts w:ascii="Times New Roman" w:hAnsi="Times New Roman" w:cs="Times New Roman"/>
          <w:sz w:val="28"/>
          <w:szCs w:val="28"/>
        </w:rPr>
        <w:t>параметров прогноза социально-экономического развития Камчатского края на 2017 год и на период 2018 и 2019 годов,</w:t>
      </w:r>
      <w:r w:rsidR="0068224E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</w:t>
      </w:r>
      <w:r w:rsidR="00B06A54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направлений</w:t>
      </w:r>
      <w:r w:rsidR="0068224E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развития, предусматриваемых программой комплексного социально-экономического развития Петропавловск-Камчатского городского округа на 2015-2019 годы</w:t>
      </w:r>
      <w:r w:rsidR="006B32E6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2E89" w:rsidRPr="00BE4A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32E6" w:rsidRPr="00BE4A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учетом</w:t>
      </w:r>
      <w:r w:rsidR="00922E89" w:rsidRPr="00BE4A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сформулированных </w:t>
      </w:r>
      <w:r w:rsidR="00922E89" w:rsidRPr="00BE4A04">
        <w:rPr>
          <w:rFonts w:ascii="Times New Roman" w:hAnsi="Times New Roman" w:cs="Times New Roman"/>
          <w:sz w:val="28"/>
          <w:szCs w:val="28"/>
        </w:rPr>
        <w:t>в Указах Президента Российской Федерации</w:t>
      </w:r>
      <w:r w:rsidR="00D178D7" w:rsidRPr="00BE4A04">
        <w:rPr>
          <w:rFonts w:ascii="Times New Roman" w:hAnsi="Times New Roman" w:cs="Times New Roman"/>
          <w:sz w:val="28"/>
          <w:szCs w:val="28"/>
        </w:rPr>
        <w:t xml:space="preserve"> и</w:t>
      </w:r>
      <w:r w:rsidR="006B32E6" w:rsidRPr="00BE4A04">
        <w:rPr>
          <w:rFonts w:ascii="Times New Roman" w:hAnsi="Times New Roman" w:cs="Times New Roman"/>
          <w:sz w:val="28"/>
          <w:szCs w:val="28"/>
        </w:rPr>
        <w:t xml:space="preserve"> </w:t>
      </w:r>
      <w:r w:rsidR="00D178D7" w:rsidRPr="00BE4A04">
        <w:rPr>
          <w:rFonts w:ascii="Times New Roman" w:hAnsi="Times New Roman" w:cs="Times New Roman"/>
          <w:sz w:val="28"/>
          <w:szCs w:val="28"/>
        </w:rPr>
        <w:t>посланиях Президента Российской Федерации Федеральному Собранию Российской Федерации</w:t>
      </w:r>
      <w:r w:rsidR="00922E89" w:rsidRPr="00BE4A04">
        <w:rPr>
          <w:rFonts w:ascii="Times New Roman" w:hAnsi="Times New Roman" w:cs="Times New Roman"/>
          <w:sz w:val="28"/>
          <w:szCs w:val="28"/>
        </w:rPr>
        <w:t xml:space="preserve"> стратегических задач.</w:t>
      </w:r>
      <w:proofErr w:type="gramEnd"/>
    </w:p>
    <w:p w:rsidR="00F5083F" w:rsidRPr="00BE4A04" w:rsidRDefault="00B40681" w:rsidP="00D1685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разработан с учетом </w:t>
      </w: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прогнозных данных </w:t>
      </w:r>
      <w:r w:rsidR="0015549C" w:rsidRPr="00BE4A04">
        <w:rPr>
          <w:rFonts w:ascii="Times New Roman" w:eastAsia="Calibri" w:hAnsi="Times New Roman" w:cs="Times New Roman"/>
          <w:sz w:val="28"/>
          <w:szCs w:val="28"/>
        </w:rPr>
        <w:t xml:space="preserve">отраслевых </w:t>
      </w:r>
      <w:r w:rsidRPr="00BE4A04">
        <w:rPr>
          <w:rFonts w:ascii="Times New Roman" w:eastAsia="Calibri" w:hAnsi="Times New Roman" w:cs="Times New Roman"/>
          <w:sz w:val="28"/>
          <w:szCs w:val="28"/>
        </w:rPr>
        <w:t>органов администрации Петропавловск-Камчатского городского округа</w:t>
      </w:r>
      <w:r w:rsidR="00D16857" w:rsidRPr="00BE4A0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15549C" w:rsidRPr="00BE4A04">
        <w:rPr>
          <w:rFonts w:ascii="Times New Roman" w:eastAsia="Calibri" w:hAnsi="Times New Roman" w:cs="Times New Roman"/>
          <w:sz w:val="28"/>
          <w:szCs w:val="28"/>
        </w:rPr>
        <w:t xml:space="preserve">организаций городского округа, </w:t>
      </w:r>
      <w:r w:rsidR="007170F2" w:rsidRPr="00BE4A04">
        <w:rPr>
          <w:rFonts w:ascii="Times New Roman" w:eastAsia="Calibri" w:hAnsi="Times New Roman" w:cs="Times New Roman"/>
          <w:sz w:val="28"/>
          <w:szCs w:val="28"/>
        </w:rPr>
        <w:t>основных направлений бюджетной и налоговой политики Петропавловс</w:t>
      </w:r>
      <w:r w:rsidR="00D178D7" w:rsidRPr="00BE4A04">
        <w:rPr>
          <w:rFonts w:ascii="Times New Roman" w:eastAsia="Calibri" w:hAnsi="Times New Roman" w:cs="Times New Roman"/>
          <w:sz w:val="28"/>
          <w:szCs w:val="28"/>
        </w:rPr>
        <w:t>к-Камчатского городского округа.</w:t>
      </w:r>
      <w:proofErr w:type="gramEnd"/>
    </w:p>
    <w:p w:rsidR="0015549C" w:rsidRDefault="00D178D7" w:rsidP="00D1685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4E72DF" w:rsidRPr="00BE4A04">
        <w:rPr>
          <w:rFonts w:ascii="Times New Roman" w:eastAsia="Calibri" w:hAnsi="Times New Roman" w:cs="Times New Roman"/>
          <w:sz w:val="28"/>
          <w:szCs w:val="28"/>
        </w:rPr>
        <w:t>П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рогнозе учтены также </w:t>
      </w:r>
      <w:r w:rsidRPr="00BE4A04">
        <w:rPr>
          <w:rFonts w:ascii="Times New Roman" w:hAnsi="Times New Roman" w:cs="Times New Roman"/>
          <w:sz w:val="28"/>
          <w:szCs w:val="28"/>
        </w:rPr>
        <w:t xml:space="preserve">тенденции и особенности социально-экономического развития городского округа, приоритеты его дальнейшего развития, определенные государственными и муниципальными программами, итоги социально-экономического развития городского округа за 2014 </w:t>
      </w:r>
      <w:r w:rsidR="009217C2" w:rsidRPr="00BE4A04">
        <w:rPr>
          <w:rFonts w:ascii="Times New Roman" w:hAnsi="Times New Roman" w:cs="Times New Roman"/>
          <w:sz w:val="28"/>
          <w:szCs w:val="28"/>
        </w:rPr>
        <w:t>-</w:t>
      </w:r>
      <w:r w:rsidRPr="00BE4A04">
        <w:rPr>
          <w:rFonts w:ascii="Times New Roman" w:hAnsi="Times New Roman" w:cs="Times New Roman"/>
          <w:sz w:val="28"/>
          <w:szCs w:val="28"/>
        </w:rPr>
        <w:t xml:space="preserve"> 2015 годы, истекший период текущего года,</w:t>
      </w: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17C2" w:rsidRPr="00BE4A04">
        <w:rPr>
          <w:rFonts w:ascii="Times New Roman" w:eastAsia="Calibri" w:hAnsi="Times New Roman" w:cs="Times New Roman"/>
          <w:sz w:val="28"/>
          <w:szCs w:val="28"/>
        </w:rPr>
        <w:t xml:space="preserve">влияние </w:t>
      </w:r>
      <w:r w:rsidR="00D16857" w:rsidRPr="00BE4A04">
        <w:rPr>
          <w:rFonts w:ascii="Times New Roman" w:eastAsia="Calibri" w:hAnsi="Times New Roman" w:cs="Times New Roman"/>
          <w:sz w:val="28"/>
          <w:szCs w:val="28"/>
        </w:rPr>
        <w:t>внешних условий и рисков, предполагаемо</w:t>
      </w:r>
      <w:r w:rsidR="009217C2" w:rsidRPr="00BE4A04">
        <w:rPr>
          <w:rFonts w:ascii="Times New Roman" w:eastAsia="Calibri" w:hAnsi="Times New Roman" w:cs="Times New Roman"/>
          <w:sz w:val="28"/>
          <w:szCs w:val="28"/>
        </w:rPr>
        <w:t>е</w:t>
      </w:r>
      <w:r w:rsidR="00D16857" w:rsidRPr="00BE4A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16857" w:rsidRPr="00FB76C6">
        <w:rPr>
          <w:rFonts w:ascii="Times New Roman" w:eastAsia="Calibri" w:hAnsi="Times New Roman" w:cs="Times New Roman"/>
          <w:sz w:val="28"/>
          <w:szCs w:val="28"/>
        </w:rPr>
        <w:t>осуществлени</w:t>
      </w:r>
      <w:r w:rsidR="009217C2" w:rsidRPr="00FB76C6">
        <w:rPr>
          <w:rFonts w:ascii="Times New Roman" w:eastAsia="Calibri" w:hAnsi="Times New Roman" w:cs="Times New Roman"/>
          <w:sz w:val="28"/>
          <w:szCs w:val="28"/>
        </w:rPr>
        <w:t>е</w:t>
      </w:r>
      <w:r w:rsidR="00D16857" w:rsidRPr="00FB76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7164" w:rsidRPr="00FB76C6">
        <w:rPr>
          <w:rFonts w:ascii="Times New Roman" w:eastAsia="Calibri" w:hAnsi="Times New Roman" w:cs="Times New Roman"/>
          <w:sz w:val="28"/>
          <w:szCs w:val="28"/>
        </w:rPr>
        <w:t xml:space="preserve">инвестиционных проектов на территории </w:t>
      </w:r>
      <w:r w:rsidR="003D78D8">
        <w:rPr>
          <w:rFonts w:ascii="Times New Roman" w:eastAsia="Calibri" w:hAnsi="Times New Roman" w:cs="Times New Roman"/>
          <w:sz w:val="28"/>
          <w:szCs w:val="28"/>
        </w:rPr>
        <w:t xml:space="preserve">Петропавловск-Камчатского </w:t>
      </w:r>
      <w:r w:rsidR="00777164" w:rsidRPr="00FB76C6"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="003D78D8">
        <w:rPr>
          <w:rFonts w:ascii="Times New Roman" w:eastAsia="Calibri" w:hAnsi="Times New Roman" w:cs="Times New Roman"/>
          <w:sz w:val="28"/>
          <w:szCs w:val="28"/>
        </w:rPr>
        <w:t xml:space="preserve"> (далее – городской округ)</w:t>
      </w:r>
      <w:r w:rsidR="00777164" w:rsidRPr="00FB76C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1F696A" w:rsidRPr="00FB76C6" w:rsidRDefault="001F696A" w:rsidP="00D1685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5083F" w:rsidRDefault="00CA50D8" w:rsidP="001F696A">
      <w:pPr>
        <w:pStyle w:val="1"/>
        <w:rPr>
          <w:lang w:eastAsia="ru-RU"/>
        </w:rPr>
      </w:pPr>
      <w:bookmarkStart w:id="17" w:name="_Toc465927686"/>
      <w:r w:rsidRPr="00FB76C6">
        <w:rPr>
          <w:lang w:eastAsia="ru-RU"/>
        </w:rPr>
        <w:t>2. </w:t>
      </w:r>
      <w:r w:rsidRPr="00FB76C6">
        <w:t xml:space="preserve">Краткая характеристика сценарных условий и </w:t>
      </w:r>
      <w:r w:rsidR="00F5083F" w:rsidRPr="00FB76C6">
        <w:t>о</w:t>
      </w:r>
      <w:r w:rsidR="00F5083F" w:rsidRPr="00FB76C6">
        <w:rPr>
          <w:lang w:eastAsia="ru-RU"/>
        </w:rPr>
        <w:t>бщая оценка социально-экономической ситуации в городском округе за отчетный период</w:t>
      </w:r>
      <w:bookmarkEnd w:id="17"/>
    </w:p>
    <w:p w:rsidR="001F696A" w:rsidRPr="001F696A" w:rsidRDefault="001F696A" w:rsidP="001F696A">
      <w:pPr>
        <w:rPr>
          <w:lang w:eastAsia="ru-RU"/>
        </w:rPr>
      </w:pPr>
    </w:p>
    <w:p w:rsidR="0019163F" w:rsidRPr="00FB76C6" w:rsidRDefault="0019163F" w:rsidP="00F5083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сценарных условий и основных макроэкономических параметров Российской Федерации</w:t>
      </w:r>
      <w:r w:rsid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РФ)</w:t>
      </w:r>
      <w:r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развитие российской экономики в условиях предполагающих сохранение геополитической нестабильности, продолжение действия на протяжении всего прогнозного периода </w:t>
      </w:r>
      <w:proofErr w:type="spellStart"/>
      <w:r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санкционного</w:t>
      </w:r>
      <w:proofErr w:type="spellEnd"/>
      <w:r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режима со стороны США и Евросоюза, поддерживающих жесткие ограничения доступа российских компаний к мировому рынку капитала и ответных экономических мер.</w:t>
      </w:r>
      <w:proofErr w:type="gramEnd"/>
    </w:p>
    <w:p w:rsidR="0019163F" w:rsidRPr="00FB76C6" w:rsidRDefault="0019163F" w:rsidP="00F5083F">
      <w:pPr>
        <w:spacing w:after="0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базируются на единых прогнозных оценках развития мировой экономики:</w:t>
      </w:r>
      <w:r w:rsidRPr="00FB76C6">
        <w:rPr>
          <w:rFonts w:ascii="Times New Roman" w:hAnsi="Times New Roman" w:cs="Times New Roman"/>
          <w:sz w:val="28"/>
          <w:szCs w:val="28"/>
        </w:rPr>
        <w:t xml:space="preserve"> </w:t>
      </w:r>
      <w:r w:rsidRPr="00FB76C6">
        <w:rPr>
          <w:rFonts w:ascii="Times New Roman" w:eastAsia="Calibri" w:hAnsi="Times New Roman" w:cs="Times New Roman"/>
          <w:sz w:val="28"/>
          <w:szCs w:val="28"/>
        </w:rPr>
        <w:t xml:space="preserve">до 3,2% в 2016 году и восстановлением умеренной динамики в 2017 – 2019 </w:t>
      </w:r>
      <w:r w:rsidRPr="00FB76C6">
        <w:rPr>
          <w:rFonts w:ascii="Times New Roman" w:hAnsi="Times New Roman" w:cs="Times New Roman"/>
          <w:sz w:val="28"/>
          <w:szCs w:val="28"/>
        </w:rPr>
        <w:t>годах</w:t>
      </w:r>
      <w:r w:rsidRPr="00FB76C6">
        <w:rPr>
          <w:rFonts w:ascii="Times New Roman" w:eastAsia="Calibri" w:hAnsi="Times New Roman" w:cs="Times New Roman"/>
          <w:sz w:val="28"/>
          <w:szCs w:val="28"/>
        </w:rPr>
        <w:t xml:space="preserve"> со среднегодовым темпом роста 3,4 процента</w:t>
      </w:r>
      <w:r w:rsidRPr="00FB76C6">
        <w:rPr>
          <w:rFonts w:ascii="Calibri" w:eastAsia="Calibri" w:hAnsi="Calibri" w:cs="Times New Roman"/>
          <w:sz w:val="28"/>
          <w:szCs w:val="28"/>
        </w:rPr>
        <w:t>.</w:t>
      </w:r>
      <w:r w:rsidRPr="00FB76C6">
        <w:rPr>
          <w:sz w:val="28"/>
          <w:szCs w:val="28"/>
        </w:rPr>
        <w:t xml:space="preserve"> </w:t>
      </w:r>
    </w:p>
    <w:p w:rsidR="0019163F" w:rsidRPr="00FB76C6" w:rsidRDefault="0019163F" w:rsidP="0019163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развития РФ разработан в составе трёх вариантов:</w:t>
      </w:r>
    </w:p>
    <w:p w:rsidR="0019163F" w:rsidRPr="00FB76C6" w:rsidRDefault="0019163F" w:rsidP="0019163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базовый вариант характеризует развитие российской экономики в условиях сохранения консервативных тенденций изменения внешних факторов при сохранении консервативной бюджетной политики, в том числе в части социальных обязательств государства. </w:t>
      </w:r>
      <w:proofErr w:type="gramEnd"/>
    </w:p>
    <w:p w:rsidR="0019163F" w:rsidRPr="00FB76C6" w:rsidRDefault="0019163F" w:rsidP="0019163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падение ВВП замедлится до 0,2 %, при этом уже в конце года предполагается возобновление экономического роста. В 2017 году рост ВВП прогнозируется темпом 0,8 %, в 2018 году - 1,8 % и в 2019 году - 2,2 процента. </w:t>
      </w:r>
    </w:p>
    <w:p w:rsidR="0019163F" w:rsidRPr="00FB76C6" w:rsidRDefault="0019163F" w:rsidP="0019163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социальной сфере предусматривается повышение уровня жизни населения на основе умеренного увеличения социальных обязательств государства и бизнеса. Следствием этого будет сдержанная динамика потребительского спроса: возобновление роста реальных денежных доходов населения в 2017 году (на 0,7 % к 2016 году) с последующим ростом на 1,1 % в 2019 году к 2018 году. </w:t>
      </w:r>
    </w:p>
    <w:p w:rsidR="0019163F" w:rsidRPr="00FB76C6" w:rsidRDefault="0019163F" w:rsidP="0019163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фоне низкого потребительского спроса инфляция замедлится до 6,5 % в 2016 году против 12,9 % в 2015 году c дальнейшим замедлением ее роста до 4,0 % к 2019 году;</w:t>
      </w:r>
    </w:p>
    <w:p w:rsidR="0019163F" w:rsidRPr="00FB76C6" w:rsidRDefault="001D1DCD" w:rsidP="0019163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9163F"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протяжении всего прогнозного периода 2017 - 2019 годов цена на нефть марки «</w:t>
      </w:r>
      <w:proofErr w:type="spellStart"/>
      <w:r w:rsidR="0019163F"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>Urals</w:t>
      </w:r>
      <w:proofErr w:type="spellEnd"/>
      <w:r w:rsidR="0019163F" w:rsidRPr="00FB7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сложится на уровне 40 долларов США за баррель. Среднегодовой курс рубля по отношению к доллару к концу прогнозного периода укрепится на уровне, не превышающем 63 рублей за доллар США, против 67,2 рублей за доллар США, по оценке, в 2016 году. </w:t>
      </w:r>
    </w:p>
    <w:p w:rsidR="009644EB" w:rsidRPr="00BE4A04" w:rsidRDefault="009644EB" w:rsidP="00F04712">
      <w:pPr>
        <w:pStyle w:val="BODY"/>
        <w:spacing w:after="60" w:line="240" w:lineRule="auto"/>
        <w:rPr>
          <w:color w:val="auto"/>
          <w:sz w:val="28"/>
          <w:szCs w:val="28"/>
        </w:rPr>
      </w:pPr>
      <w:r w:rsidRPr="00BE4A04">
        <w:rPr>
          <w:color w:val="auto"/>
          <w:sz w:val="28"/>
          <w:szCs w:val="28"/>
        </w:rPr>
        <w:t xml:space="preserve">Темпы роста российской экономики составят в 2017 году </w:t>
      </w:r>
      <w:r w:rsidR="00F04712" w:rsidRPr="00BE4A04">
        <w:rPr>
          <w:color w:val="auto"/>
          <w:sz w:val="28"/>
          <w:szCs w:val="28"/>
        </w:rPr>
        <w:t>-</w:t>
      </w:r>
      <w:r w:rsidRPr="00BE4A04">
        <w:rPr>
          <w:color w:val="auto"/>
          <w:sz w:val="28"/>
          <w:szCs w:val="28"/>
        </w:rPr>
        <w:t xml:space="preserve"> 100,8</w:t>
      </w:r>
      <w:r w:rsidR="0019163F" w:rsidRPr="00BE4A04">
        <w:rPr>
          <w:color w:val="auto"/>
          <w:sz w:val="28"/>
          <w:szCs w:val="28"/>
        </w:rPr>
        <w:t xml:space="preserve"> </w:t>
      </w:r>
      <w:r w:rsidRPr="00BE4A04">
        <w:rPr>
          <w:color w:val="auto"/>
          <w:sz w:val="28"/>
          <w:szCs w:val="28"/>
        </w:rPr>
        <w:t xml:space="preserve">% к предыдущему году, в 2018 году </w:t>
      </w:r>
      <w:r w:rsidR="00F04712" w:rsidRPr="00BE4A04">
        <w:rPr>
          <w:color w:val="auto"/>
          <w:sz w:val="28"/>
          <w:szCs w:val="28"/>
        </w:rPr>
        <w:t>-</w:t>
      </w:r>
      <w:r w:rsidRPr="00BE4A04">
        <w:rPr>
          <w:color w:val="auto"/>
          <w:sz w:val="28"/>
          <w:szCs w:val="28"/>
        </w:rPr>
        <w:t xml:space="preserve"> 101,8</w:t>
      </w:r>
      <w:r w:rsidR="0019163F" w:rsidRPr="00BE4A04">
        <w:rPr>
          <w:color w:val="auto"/>
          <w:sz w:val="28"/>
          <w:szCs w:val="28"/>
        </w:rPr>
        <w:t xml:space="preserve"> </w:t>
      </w:r>
      <w:r w:rsidRPr="00BE4A04">
        <w:rPr>
          <w:color w:val="auto"/>
          <w:sz w:val="28"/>
          <w:szCs w:val="28"/>
        </w:rPr>
        <w:t xml:space="preserve">%, в 2019 году </w:t>
      </w:r>
      <w:r w:rsidR="00F04712" w:rsidRPr="00BE4A04">
        <w:rPr>
          <w:color w:val="auto"/>
          <w:sz w:val="28"/>
          <w:szCs w:val="28"/>
        </w:rPr>
        <w:t>-</w:t>
      </w:r>
      <w:r w:rsidRPr="00BE4A04">
        <w:rPr>
          <w:color w:val="auto"/>
          <w:sz w:val="28"/>
          <w:szCs w:val="28"/>
        </w:rPr>
        <w:t xml:space="preserve"> 102,2</w:t>
      </w:r>
      <w:r w:rsidR="0019163F" w:rsidRPr="00BE4A04">
        <w:rPr>
          <w:color w:val="auto"/>
          <w:sz w:val="28"/>
          <w:szCs w:val="28"/>
        </w:rPr>
        <w:t xml:space="preserve"> </w:t>
      </w:r>
      <w:r w:rsidRPr="00BE4A04">
        <w:rPr>
          <w:color w:val="auto"/>
          <w:sz w:val="28"/>
          <w:szCs w:val="28"/>
        </w:rPr>
        <w:t>%</w:t>
      </w:r>
      <w:r w:rsidR="00333EFB" w:rsidRPr="00BE4A04">
        <w:rPr>
          <w:color w:val="auto"/>
          <w:sz w:val="28"/>
          <w:szCs w:val="28"/>
        </w:rPr>
        <w:t xml:space="preserve"> </w:t>
      </w:r>
      <w:r w:rsidR="00333EFB" w:rsidRPr="00BE4A04">
        <w:rPr>
          <w:color w:val="auto"/>
          <w:sz w:val="27"/>
          <w:szCs w:val="27"/>
        </w:rPr>
        <w:t>(таблица 2.1)</w:t>
      </w:r>
      <w:r w:rsidRPr="00BE4A04">
        <w:rPr>
          <w:color w:val="auto"/>
          <w:sz w:val="28"/>
          <w:szCs w:val="28"/>
        </w:rPr>
        <w:t>.</w:t>
      </w:r>
    </w:p>
    <w:tbl>
      <w:tblPr>
        <w:tblpPr w:leftFromText="180" w:rightFromText="180" w:vertAnchor="text" w:horzAnchor="margin" w:tblpY="126"/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1915"/>
        <w:gridCol w:w="998"/>
        <w:gridCol w:w="1034"/>
        <w:gridCol w:w="994"/>
        <w:gridCol w:w="989"/>
        <w:gridCol w:w="847"/>
      </w:tblGrid>
      <w:tr w:rsidR="00333EFB" w:rsidRPr="00BE4A04" w:rsidTr="00333EFB">
        <w:tc>
          <w:tcPr>
            <w:tcW w:w="2576" w:type="dxa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</w:p>
        </w:tc>
        <w:tc>
          <w:tcPr>
            <w:tcW w:w="998" w:type="dxa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2016 г</w:t>
            </w:r>
          </w:p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333EFB" w:rsidRPr="00BE4A04" w:rsidTr="00333EFB">
        <w:tc>
          <w:tcPr>
            <w:tcW w:w="2576" w:type="dxa"/>
            <w:vMerge w:val="restart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 xml:space="preserve">Темпы роста мировой </w:t>
            </w:r>
          </w:p>
          <w:p w:rsidR="00333EFB" w:rsidRPr="00BE4A04" w:rsidRDefault="00333EFB" w:rsidP="00333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экономики, %</w:t>
            </w:r>
          </w:p>
        </w:tc>
        <w:tc>
          <w:tcPr>
            <w:tcW w:w="1915" w:type="dxa"/>
            <w:vAlign w:val="center"/>
            <w:hideMark/>
          </w:tcPr>
          <w:p w:rsidR="00333EFB" w:rsidRPr="00BE4A04" w:rsidRDefault="00333EFB" w:rsidP="00A557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proofErr w:type="gramEnd"/>
          </w:p>
        </w:tc>
        <w:tc>
          <w:tcPr>
            <w:tcW w:w="998" w:type="dxa"/>
            <w:vMerge w:val="restart"/>
            <w:tcBorders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</w:tr>
      <w:tr w:rsidR="00333EFB" w:rsidRPr="00BE4A04" w:rsidTr="00333EFB">
        <w:trPr>
          <w:trHeight w:val="247"/>
        </w:trPr>
        <w:tc>
          <w:tcPr>
            <w:tcW w:w="0" w:type="auto"/>
            <w:vMerge/>
            <w:hideMark/>
          </w:tcPr>
          <w:p w:rsidR="00333EFB" w:rsidRPr="00BE4A04" w:rsidRDefault="00333EFB" w:rsidP="00333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  <w:hideMark/>
          </w:tcPr>
          <w:p w:rsidR="00333EFB" w:rsidRPr="00BE4A04" w:rsidRDefault="00333EFB" w:rsidP="00A557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  <w:proofErr w:type="gramEnd"/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EFB" w:rsidRPr="00BE4A04" w:rsidTr="00333EFB">
        <w:tc>
          <w:tcPr>
            <w:tcW w:w="2576" w:type="dxa"/>
            <w:vMerge/>
            <w:hideMark/>
          </w:tcPr>
          <w:p w:rsidR="00333EFB" w:rsidRPr="00BE4A04" w:rsidRDefault="00333EFB" w:rsidP="00333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  <w:proofErr w:type="gramEnd"/>
          </w:p>
        </w:tc>
        <w:tc>
          <w:tcPr>
            <w:tcW w:w="998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EFB" w:rsidRPr="00BE4A04" w:rsidTr="00333EFB">
        <w:trPr>
          <w:trHeight w:val="284"/>
        </w:trPr>
        <w:tc>
          <w:tcPr>
            <w:tcW w:w="2576" w:type="dxa"/>
            <w:vMerge w:val="restart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Динамика развития российской экономики, %</w:t>
            </w:r>
          </w:p>
        </w:tc>
        <w:tc>
          <w:tcPr>
            <w:tcW w:w="1915" w:type="dxa"/>
            <w:vAlign w:val="center"/>
            <w:hideMark/>
          </w:tcPr>
          <w:p w:rsidR="00333EFB" w:rsidRPr="00BE4A04" w:rsidRDefault="00333EFB" w:rsidP="00A557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proofErr w:type="gramEnd"/>
          </w:p>
        </w:tc>
        <w:tc>
          <w:tcPr>
            <w:tcW w:w="998" w:type="dxa"/>
            <w:vMerge w:val="restart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1034" w:type="dxa"/>
            <w:tcBorders>
              <w:top w:val="single" w:sz="4" w:space="0" w:color="auto"/>
            </w:tcBorders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989" w:type="dxa"/>
            <w:tcBorders>
              <w:top w:val="single" w:sz="4" w:space="0" w:color="auto"/>
            </w:tcBorders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847" w:type="dxa"/>
            <w:tcBorders>
              <w:top w:val="single" w:sz="4" w:space="0" w:color="auto"/>
            </w:tcBorders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</w:tr>
      <w:tr w:rsidR="00333EFB" w:rsidRPr="00BE4A04" w:rsidTr="00333EFB">
        <w:trPr>
          <w:trHeight w:val="284"/>
        </w:trPr>
        <w:tc>
          <w:tcPr>
            <w:tcW w:w="0" w:type="auto"/>
            <w:vMerge/>
            <w:hideMark/>
          </w:tcPr>
          <w:p w:rsidR="00333EFB" w:rsidRPr="00BE4A04" w:rsidRDefault="00333EFB" w:rsidP="00333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  <w:hideMark/>
          </w:tcPr>
          <w:p w:rsidR="00333EFB" w:rsidRPr="00BE4A04" w:rsidRDefault="00333EFB" w:rsidP="00A557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99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989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847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</w:tr>
      <w:tr w:rsidR="00333EFB" w:rsidRPr="00BE4A04" w:rsidTr="00333EFB">
        <w:trPr>
          <w:trHeight w:val="284"/>
        </w:trPr>
        <w:tc>
          <w:tcPr>
            <w:tcW w:w="2576" w:type="dxa"/>
            <w:vMerge/>
            <w:hideMark/>
          </w:tcPr>
          <w:p w:rsidR="00333EFB" w:rsidRPr="00BE4A04" w:rsidRDefault="00333EFB" w:rsidP="00333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  <w:proofErr w:type="gramEnd"/>
          </w:p>
        </w:tc>
        <w:tc>
          <w:tcPr>
            <w:tcW w:w="998" w:type="dxa"/>
            <w:vMerge/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99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989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847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333EFB" w:rsidRPr="00BE4A04" w:rsidTr="00333EFB">
        <w:trPr>
          <w:trHeight w:val="284"/>
        </w:trPr>
        <w:tc>
          <w:tcPr>
            <w:tcW w:w="2576" w:type="dxa"/>
            <w:vMerge w:val="restart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 xml:space="preserve">Цена (мировая) на нефть </w:t>
            </w:r>
            <w:proofErr w:type="spellStart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Urals</w:t>
            </w:r>
            <w:proofErr w:type="spellEnd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, долларов США за баррель</w:t>
            </w:r>
          </w:p>
        </w:tc>
        <w:tc>
          <w:tcPr>
            <w:tcW w:w="1915" w:type="dxa"/>
            <w:vAlign w:val="center"/>
            <w:hideMark/>
          </w:tcPr>
          <w:p w:rsidR="00333EFB" w:rsidRPr="00BE4A04" w:rsidRDefault="00333EFB" w:rsidP="00A557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proofErr w:type="gramEnd"/>
          </w:p>
        </w:tc>
        <w:tc>
          <w:tcPr>
            <w:tcW w:w="998" w:type="dxa"/>
            <w:vMerge w:val="restart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03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9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47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33EFB" w:rsidRPr="00BE4A04" w:rsidTr="00333EFB">
        <w:trPr>
          <w:trHeight w:val="284"/>
        </w:trPr>
        <w:tc>
          <w:tcPr>
            <w:tcW w:w="0" w:type="auto"/>
            <w:vMerge/>
            <w:hideMark/>
          </w:tcPr>
          <w:p w:rsidR="00333EFB" w:rsidRPr="00BE4A04" w:rsidRDefault="00333EFB" w:rsidP="00333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  <w:hideMark/>
          </w:tcPr>
          <w:p w:rsidR="00333EFB" w:rsidRPr="00BE4A04" w:rsidRDefault="00333EFB" w:rsidP="00A557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9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47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33EFB" w:rsidRPr="00BE4A04" w:rsidTr="00333EFB">
        <w:trPr>
          <w:trHeight w:val="284"/>
        </w:trPr>
        <w:tc>
          <w:tcPr>
            <w:tcW w:w="2576" w:type="dxa"/>
            <w:vMerge/>
            <w:hideMark/>
          </w:tcPr>
          <w:p w:rsidR="00333EFB" w:rsidRPr="00BE4A04" w:rsidRDefault="00333EFB" w:rsidP="00333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  <w:proofErr w:type="gramEnd"/>
          </w:p>
        </w:tc>
        <w:tc>
          <w:tcPr>
            <w:tcW w:w="998" w:type="dxa"/>
            <w:vMerge/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89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7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33EFB" w:rsidRPr="00BE4A04" w:rsidTr="00333EFB">
        <w:trPr>
          <w:trHeight w:val="284"/>
        </w:trPr>
        <w:tc>
          <w:tcPr>
            <w:tcW w:w="2576" w:type="dxa"/>
            <w:vMerge w:val="restart"/>
            <w:hideMark/>
          </w:tcPr>
          <w:p w:rsidR="00333EFB" w:rsidRPr="00BE4A04" w:rsidRDefault="00A5575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 </w:t>
            </w:r>
            <w:r w:rsidR="00333EFB" w:rsidRPr="00BE4A04">
              <w:rPr>
                <w:rFonts w:ascii="Times New Roman" w:hAnsi="Times New Roman" w:cs="Times New Roman"/>
                <w:sz w:val="24"/>
                <w:szCs w:val="24"/>
              </w:rPr>
              <w:t>доллара (среднегодовой), рублей за доллар</w:t>
            </w:r>
          </w:p>
        </w:tc>
        <w:tc>
          <w:tcPr>
            <w:tcW w:w="1915" w:type="dxa"/>
            <w:vAlign w:val="center"/>
            <w:hideMark/>
          </w:tcPr>
          <w:p w:rsidR="00333EFB" w:rsidRPr="00BE4A04" w:rsidRDefault="00333EFB" w:rsidP="00A557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proofErr w:type="gramEnd"/>
          </w:p>
        </w:tc>
        <w:tc>
          <w:tcPr>
            <w:tcW w:w="998" w:type="dxa"/>
            <w:vMerge w:val="restart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3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99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989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847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333EFB" w:rsidRPr="00BE4A04" w:rsidTr="00333EFB">
        <w:trPr>
          <w:trHeight w:val="284"/>
        </w:trPr>
        <w:tc>
          <w:tcPr>
            <w:tcW w:w="0" w:type="auto"/>
            <w:vMerge/>
            <w:hideMark/>
          </w:tcPr>
          <w:p w:rsidR="00333EFB" w:rsidRPr="00BE4A04" w:rsidRDefault="00333EFB" w:rsidP="00333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  <w:hideMark/>
          </w:tcPr>
          <w:p w:rsidR="00333EFB" w:rsidRPr="00BE4A04" w:rsidRDefault="00333EFB" w:rsidP="00A557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  <w:proofErr w:type="gramEnd"/>
          </w:p>
        </w:tc>
        <w:tc>
          <w:tcPr>
            <w:tcW w:w="0" w:type="auto"/>
            <w:vMerge/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994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989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847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333EFB" w:rsidRPr="00BE4A04" w:rsidTr="00333EFB">
        <w:trPr>
          <w:trHeight w:val="284"/>
        </w:trPr>
        <w:tc>
          <w:tcPr>
            <w:tcW w:w="0" w:type="auto"/>
            <w:vMerge/>
            <w:hideMark/>
          </w:tcPr>
          <w:p w:rsidR="00333EFB" w:rsidRPr="00BE4A04" w:rsidRDefault="00333EFB" w:rsidP="00333E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33EFB" w:rsidRPr="00BE4A04" w:rsidRDefault="00333EFB" w:rsidP="00333E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Mar>
              <w:left w:w="108" w:type="dxa"/>
              <w:right w:w="108" w:type="dxa"/>
            </w:tcMar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994" w:type="dxa"/>
            <w:tcMar>
              <w:left w:w="108" w:type="dxa"/>
              <w:right w:w="108" w:type="dxa"/>
            </w:tcMar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989" w:type="dxa"/>
            <w:tcMar>
              <w:left w:w="108" w:type="dxa"/>
              <w:right w:w="108" w:type="dxa"/>
            </w:tcMar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847" w:type="dxa"/>
            <w:tcMar>
              <w:left w:w="108" w:type="dxa"/>
              <w:right w:w="108" w:type="dxa"/>
            </w:tcMar>
            <w:vAlign w:val="center"/>
            <w:hideMark/>
          </w:tcPr>
          <w:p w:rsidR="00333EFB" w:rsidRPr="00BE4A04" w:rsidRDefault="00333EFB" w:rsidP="00A5575B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4A04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</w:tr>
    </w:tbl>
    <w:p w:rsidR="0032052A" w:rsidRPr="00BE4A04" w:rsidRDefault="0032052A" w:rsidP="0032052A">
      <w:pPr>
        <w:spacing w:before="60" w:after="0"/>
        <w:jc w:val="center"/>
        <w:rPr>
          <w:rFonts w:ascii="Times New Roman" w:eastAsia="Times New Roman" w:hAnsi="Times New Roman" w:cs="Times New Roman"/>
          <w:i/>
          <w:strike/>
          <w:sz w:val="24"/>
          <w:szCs w:val="24"/>
          <w:lang w:eastAsia="ru-RU"/>
        </w:rPr>
      </w:pPr>
      <w:r w:rsidRPr="00BE4A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Таблица 2.1. Основные параметры развития мировой экономики и параметры внешних условий по вариантам </w:t>
      </w:r>
      <w:proofErr w:type="gramStart"/>
      <w:r w:rsidRPr="00BE4A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прогноза сценарных условий развития экономики РФ</w:t>
      </w:r>
      <w:proofErr w:type="gramEnd"/>
    </w:p>
    <w:p w:rsidR="00B11F23" w:rsidRDefault="00B11F23" w:rsidP="009644EB">
      <w:pPr>
        <w:spacing w:after="0"/>
        <w:ind w:right="-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CB2" w:rsidRPr="00BE4A04" w:rsidRDefault="0041228A" w:rsidP="009644EB">
      <w:pPr>
        <w:spacing w:after="0"/>
        <w:ind w:right="-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- ц</w:t>
      </w:r>
      <w:r w:rsidR="009644EB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елевой вариант ориентирует на достижение целевых показателей социально-экономического развития и решение задач стратегического планирования.</w:t>
      </w:r>
    </w:p>
    <w:p w:rsidR="00B36CB2" w:rsidRPr="00BE4A04" w:rsidRDefault="00B36CB2" w:rsidP="009644EB">
      <w:pPr>
        <w:spacing w:after="0"/>
        <w:ind w:right="-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4A04">
        <w:rPr>
          <w:rFonts w:ascii="Times New Roman" w:hAnsi="Times New Roman" w:cs="Times New Roman"/>
          <w:sz w:val="28"/>
          <w:szCs w:val="28"/>
        </w:rPr>
        <w:t>Внешние условия сохраняются на уровне базового варианта, но для достижения намеченных целей предполагается смена ориентации экономики на инвестиционную модель развития при сдерживании в первые годы прогнозного периода роста расходов на потребление и социальных обязательств государства и бизнеса</w:t>
      </w:r>
      <w:proofErr w:type="gramEnd"/>
    </w:p>
    <w:p w:rsidR="009644EB" w:rsidRPr="00BE4A04" w:rsidRDefault="009644EB" w:rsidP="009644EB">
      <w:pPr>
        <w:spacing w:after="0"/>
        <w:ind w:right="-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Снижение инфляции до 4</w:t>
      </w:r>
      <w:r w:rsidR="0041228A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% в 2017 году предполагает существенное сдерживание внутреннего спроса, прежде всего спроса домашних хозяйств: снижение реальных денежных доходов населения в 2016 и 2017 годах. Рост инвестиций в основной капитал в 2017 году также не достигнет темпов, необходимых для динамичного роста экономики, вследствие значительной инерционности инвестиционного процесса и ограниченности финансирования.</w:t>
      </w:r>
    </w:p>
    <w:p w:rsidR="009644EB" w:rsidRPr="00BE4A04" w:rsidRDefault="009644EB" w:rsidP="009644EB">
      <w:pPr>
        <w:spacing w:after="0"/>
        <w:ind w:right="-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Однако, начиная с 2018 года, с учетом начала реализации крупных инвестиционных проектов и мер экономической политики, направленных на активизацию факторов экономического роста и повышение эффективности экономики, темпы прироста ВВП будут непрерывно возрастать </w:t>
      </w:r>
      <w:proofErr w:type="gramStart"/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достигнут </w:t>
      </w:r>
      <w:r w:rsidR="0019163F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4,5</w:t>
      </w:r>
      <w:r w:rsidR="0019163F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% в 2019 год</w:t>
      </w:r>
      <w:r w:rsidR="00B36CB2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у.</w:t>
      </w:r>
    </w:p>
    <w:p w:rsidR="00B36CB2" w:rsidRPr="00BE4A04" w:rsidRDefault="0041228A" w:rsidP="009644EB">
      <w:pPr>
        <w:spacing w:after="0"/>
        <w:ind w:right="-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="009644EB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онсервативный вариант рассматривает развитие экономики в условиях низких цен на нефть и высокой волатильности курса рубля. </w:t>
      </w:r>
      <w:proofErr w:type="gramStart"/>
      <w:r w:rsidR="009644EB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этих условиях основные макроэкономические показатели в 2016 году будут иметь выраженную негативную динамику: снижение ВВП </w:t>
      </w:r>
      <w:r w:rsidR="00B36CB2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44EB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2,1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4EB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падение инвестиций в основной капитал </w:t>
      </w:r>
      <w:r w:rsidR="00B36CB2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44EB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9,4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4EB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усиление инфляционного фона по сравнению с базовым вариантом </w:t>
      </w:r>
      <w:r w:rsidR="00B36CB2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44EB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9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4EB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%, дальнейшее падение доходов населения и с</w:t>
      </w:r>
      <w:r w:rsidR="00B36CB2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нижение уровня жизни населения.</w:t>
      </w:r>
      <w:proofErr w:type="gramEnd"/>
    </w:p>
    <w:p w:rsidR="009644EB" w:rsidRPr="00BE4A04" w:rsidRDefault="009644EB" w:rsidP="00352EFE">
      <w:pPr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предполагается стабилизация ситуации в экономике с замедлением темпов падения до 0,4</w:t>
      </w:r>
      <w:r w:rsidR="009D5C7B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в 2018 </w:t>
      </w:r>
      <w:r w:rsidR="00B36CB2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гг. намечается тенденция устойчивого прироста темпами 0,7</w:t>
      </w:r>
      <w:r w:rsidR="00E82BF1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="00B36CB2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82BF1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1,6 </w:t>
      </w:r>
      <w:r w:rsidR="0041228A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561C6" w:rsidRPr="00BE4A04" w:rsidRDefault="007561C6" w:rsidP="007561C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proofErr w:type="gramStart"/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Петропавловск-Камчатского</w:t>
      </w:r>
      <w:proofErr w:type="gramEnd"/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на 2017 год и плановый период 2018 и 2019 годов подготовлен в 2 вариантах: вариант 1 </w:t>
      </w:r>
      <w:r w:rsidR="00E82BF1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базовый и вариант 2 </w:t>
      </w:r>
      <w:r w:rsidR="00E82BF1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целевой.</w:t>
      </w:r>
    </w:p>
    <w:p w:rsidR="007561C6" w:rsidRPr="00BE4A04" w:rsidRDefault="007561C6" w:rsidP="007561C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Базовый вариант (далее по тексту - вариант 1 Прогноза) предполагает сохранение инерционных тенденций развития экономики городского округа, </w:t>
      </w: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стабилизацию формирующихся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последний период</w:t>
      </w:r>
      <w:r w:rsidRPr="00BE4A04">
        <w:rPr>
          <w:rFonts w:ascii="Times New Roman" w:hAnsi="Times New Roman" w:cs="Times New Roman"/>
          <w:sz w:val="28"/>
          <w:szCs w:val="28"/>
        </w:rPr>
        <w:t xml:space="preserve"> </w:t>
      </w:r>
      <w:r w:rsidRPr="00BE4A04">
        <w:rPr>
          <w:rFonts w:ascii="Times New Roman" w:eastAsia="Calibri" w:hAnsi="Times New Roman" w:cs="Times New Roman"/>
          <w:sz w:val="28"/>
          <w:szCs w:val="28"/>
        </w:rPr>
        <w:t>позитивных т</w:t>
      </w:r>
      <w:r w:rsidR="006E6185">
        <w:rPr>
          <w:rFonts w:ascii="Times New Roman" w:eastAsia="Calibri" w:hAnsi="Times New Roman" w:cs="Times New Roman"/>
          <w:sz w:val="28"/>
          <w:szCs w:val="28"/>
        </w:rPr>
        <w:t>енденций</w:t>
      </w:r>
      <w:r w:rsidRPr="00BE4A04">
        <w:rPr>
          <w:rFonts w:ascii="Times New Roman" w:eastAsia="Calibri" w:hAnsi="Times New Roman" w:cs="Times New Roman"/>
          <w:sz w:val="28"/>
          <w:szCs w:val="28"/>
        </w:rPr>
        <w:t>,</w:t>
      </w:r>
      <w:r w:rsidRPr="00BE4A04">
        <w:rPr>
          <w:rFonts w:ascii="Times New Roman" w:hAnsi="Times New Roman" w:cs="Times New Roman"/>
          <w:sz w:val="28"/>
          <w:szCs w:val="28"/>
        </w:rPr>
        <w:t xml:space="preserve">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в реальном выражении государственного инвестиционного спроса, ограниченные расходы на развитие инфраструктурного сектора.</w:t>
      </w:r>
      <w:proofErr w:type="gramEnd"/>
    </w:p>
    <w:p w:rsidR="007561C6" w:rsidRPr="00BE4A04" w:rsidRDefault="007561C6" w:rsidP="007561C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Сдержанные темпы роста экономики городского округа будут поддерживаться сохранением традиционно сложившейся отраслевой структурой экономики, высокими транспортными тарифами и тарифами на энергоресурсы, что влияет на конкурентоспособность продукции на внутреннем и внешнем рынках, невысоким уровнем инвестиционной политики </w:t>
      </w:r>
      <w:r w:rsidRPr="00BE4A04">
        <w:rPr>
          <w:rFonts w:ascii="Times New Roman" w:eastAsia="Calibri" w:hAnsi="Times New Roman" w:cs="Times New Roman"/>
          <w:sz w:val="28"/>
          <w:szCs w:val="28"/>
        </w:rPr>
        <w:t>предприятий и организаций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4A04">
        <w:rPr>
          <w:rFonts w:ascii="Times New Roman" w:hAnsi="Times New Roman" w:cs="Times New Roman"/>
          <w:sz w:val="28"/>
          <w:szCs w:val="28"/>
        </w:rPr>
        <w:t xml:space="preserve"> </w:t>
      </w:r>
      <w:r w:rsidRPr="00BE4A04">
        <w:rPr>
          <w:rFonts w:ascii="Times New Roman" w:eastAsia="Calibri" w:hAnsi="Times New Roman" w:cs="Times New Roman"/>
          <w:sz w:val="28"/>
          <w:szCs w:val="28"/>
        </w:rPr>
        <w:t>сдержанны</w:t>
      </w:r>
      <w:r w:rsidRPr="00BE4A04">
        <w:rPr>
          <w:rFonts w:ascii="Times New Roman" w:hAnsi="Times New Roman" w:cs="Times New Roman"/>
          <w:sz w:val="28"/>
          <w:szCs w:val="28"/>
        </w:rPr>
        <w:t>м</w:t>
      </w: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 потребительски</w:t>
      </w:r>
      <w:r w:rsidRPr="00BE4A04">
        <w:rPr>
          <w:rFonts w:ascii="Times New Roman" w:hAnsi="Times New Roman" w:cs="Times New Roman"/>
          <w:sz w:val="28"/>
          <w:szCs w:val="28"/>
        </w:rPr>
        <w:t>м</w:t>
      </w: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 спрос</w:t>
      </w:r>
      <w:r w:rsidRPr="00BE4A04">
        <w:rPr>
          <w:rFonts w:ascii="Times New Roman" w:hAnsi="Times New Roman" w:cs="Times New Roman"/>
          <w:sz w:val="28"/>
          <w:szCs w:val="28"/>
        </w:rPr>
        <w:t>ом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1C6" w:rsidRPr="00BE4A04" w:rsidRDefault="007561C6" w:rsidP="007561C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Вариантом 1 Прогноза предусмотрена реализация политики городского округа по формированию благоприятного инвестиционного климата, поддержка малого и среднего предпринимательства, в том числе, направленная на модернизацию производства.</w:t>
      </w:r>
    </w:p>
    <w:p w:rsidR="007561C6" w:rsidRPr="00BE4A04" w:rsidRDefault="007561C6" w:rsidP="007561C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вариант (далее по тексту - вариант 2 Прогноза)</w:t>
      </w:r>
      <w:r w:rsidRPr="00BE4A04">
        <w:rPr>
          <w:sz w:val="28"/>
          <w:szCs w:val="28"/>
        </w:rPr>
        <w:t xml:space="preserve">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базируется на предположении о более позитивной динамике развития экономики городского округа </w:t>
      </w:r>
      <w:r w:rsidRPr="00BE4A04">
        <w:rPr>
          <w:rFonts w:ascii="Times New Roman" w:eastAsia="Calibri" w:hAnsi="Times New Roman" w:cs="Times New Roman"/>
          <w:sz w:val="28"/>
          <w:szCs w:val="28"/>
        </w:rPr>
        <w:t>в условиях реализации активной государственной политики</w:t>
      </w:r>
      <w:r w:rsidRPr="00BE4A04">
        <w:rPr>
          <w:rFonts w:ascii="Times New Roman" w:hAnsi="Times New Roman" w:cs="Times New Roman"/>
          <w:sz w:val="28"/>
          <w:szCs w:val="28"/>
        </w:rPr>
        <w:t>,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A04">
        <w:rPr>
          <w:rFonts w:ascii="Times New Roman" w:eastAsia="Calibri" w:hAnsi="Times New Roman" w:cs="Times New Roman"/>
          <w:sz w:val="28"/>
          <w:szCs w:val="28"/>
        </w:rPr>
        <w:t>направленн</w:t>
      </w:r>
      <w:r w:rsidRPr="00BE4A04">
        <w:rPr>
          <w:rFonts w:ascii="Times New Roman" w:hAnsi="Times New Roman" w:cs="Times New Roman"/>
          <w:sz w:val="28"/>
          <w:szCs w:val="28"/>
        </w:rPr>
        <w:t>ой</w:t>
      </w: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 на поддержание инвестиционного и потребительского спроса</w:t>
      </w:r>
      <w:r w:rsidRPr="00BE4A04">
        <w:rPr>
          <w:rFonts w:ascii="Times New Roman" w:hAnsi="Times New Roman" w:cs="Times New Roman"/>
          <w:sz w:val="28"/>
          <w:szCs w:val="28"/>
        </w:rPr>
        <w:t xml:space="preserve"> и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планового объема мероприятий проектов </w:t>
      </w:r>
      <w:r w:rsidR="00E541FB" w:rsidRPr="00E541F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территории опережающего социально-экономического развития (далее –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ТОСЭР</w:t>
      </w:r>
      <w:r w:rsidR="00E541F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«Камчатка» и «Свободный порт Владивосток».</w:t>
      </w:r>
      <w:proofErr w:type="gramEnd"/>
    </w:p>
    <w:p w:rsidR="00907492" w:rsidRPr="00BE4A04" w:rsidRDefault="00907492" w:rsidP="00907492">
      <w:pPr>
        <w:spacing w:after="60"/>
        <w:ind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Основные параметры прогноза социально-экономического развития </w:t>
      </w:r>
      <w:proofErr w:type="gramStart"/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Петропавловск-Камчатского</w:t>
      </w:r>
      <w:proofErr w:type="gramEnd"/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на 2017 год и плановый период 2018 и 2019 годов представлены в таблице </w:t>
      </w:r>
      <w:r w:rsidR="009647BD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3"/>
        <w:gridCol w:w="1114"/>
        <w:gridCol w:w="1114"/>
        <w:gridCol w:w="987"/>
        <w:gridCol w:w="1024"/>
        <w:gridCol w:w="935"/>
      </w:tblGrid>
      <w:tr w:rsidR="009647BD" w:rsidRPr="00BE4A04" w:rsidTr="009647BD">
        <w:trPr>
          <w:tblHeader/>
          <w:jc w:val="center"/>
        </w:trPr>
        <w:tc>
          <w:tcPr>
            <w:tcW w:w="2321" w:type="pct"/>
            <w:vMerge w:val="restart"/>
            <w:vAlign w:val="center"/>
          </w:tcPr>
          <w:p w:rsidR="009647BD" w:rsidRPr="00BE4A04" w:rsidRDefault="009647BD" w:rsidP="009647B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vMerge w:val="restar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</w:t>
            </w:r>
          </w:p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577" w:type="pct"/>
            <w:vMerge w:val="restart"/>
            <w:vAlign w:val="center"/>
          </w:tcPr>
          <w:p w:rsidR="00160C01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511" w:type="pc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530" w:type="pc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</w:t>
            </w:r>
          </w:p>
        </w:tc>
        <w:tc>
          <w:tcPr>
            <w:tcW w:w="484" w:type="pc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201</w:t>
            </w: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647BD" w:rsidRPr="00BE4A04" w:rsidTr="009647BD">
        <w:trPr>
          <w:tblHeader/>
          <w:jc w:val="center"/>
        </w:trPr>
        <w:tc>
          <w:tcPr>
            <w:tcW w:w="2321" w:type="pct"/>
            <w:vMerge/>
            <w:vAlign w:val="center"/>
          </w:tcPr>
          <w:p w:rsidR="009647BD" w:rsidRPr="00BE4A04" w:rsidRDefault="009647BD" w:rsidP="009647B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vMerge/>
            <w:vAlign w:val="center"/>
          </w:tcPr>
          <w:p w:rsidR="009647BD" w:rsidRPr="00BE4A04" w:rsidDel="009749D6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vMerge/>
            <w:vAlign w:val="center"/>
          </w:tcPr>
          <w:p w:rsidR="009647BD" w:rsidRPr="00BE4A04" w:rsidDel="009749D6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pct"/>
            <w:gridSpan w:val="3"/>
            <w:vAlign w:val="center"/>
          </w:tcPr>
          <w:p w:rsidR="009647BD" w:rsidRPr="00BE4A04" w:rsidDel="009749D6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9647BD" w:rsidRPr="00BE4A04" w:rsidTr="009647BD">
        <w:trPr>
          <w:jc w:val="center"/>
        </w:trPr>
        <w:tc>
          <w:tcPr>
            <w:tcW w:w="5000" w:type="pct"/>
            <w:gridSpan w:val="6"/>
            <w:vAlign w:val="center"/>
          </w:tcPr>
          <w:p w:rsidR="009647BD" w:rsidRPr="00BE4A04" w:rsidRDefault="009647BD" w:rsidP="009647B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Промышленность, прирост, %</w:t>
            </w:r>
          </w:p>
        </w:tc>
      </w:tr>
      <w:tr w:rsidR="009647BD" w:rsidRPr="00BE4A04" w:rsidTr="009647BD">
        <w:trPr>
          <w:jc w:val="center"/>
        </w:trPr>
        <w:tc>
          <w:tcPr>
            <w:tcW w:w="2321" w:type="pct"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577" w:type="pct"/>
            <w:vMerge w:val="restar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577" w:type="pct"/>
            <w:vMerge w:val="restar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11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530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84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9647BD" w:rsidRPr="00BE4A04" w:rsidTr="009647BD">
        <w:trPr>
          <w:jc w:val="center"/>
        </w:trPr>
        <w:tc>
          <w:tcPr>
            <w:tcW w:w="2321" w:type="pct"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вариант</w:t>
            </w:r>
          </w:p>
        </w:tc>
        <w:tc>
          <w:tcPr>
            <w:tcW w:w="577" w:type="pct"/>
            <w:vMerge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vMerge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1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30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484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647BD" w:rsidRPr="00BE4A04" w:rsidTr="009647BD">
        <w:trPr>
          <w:jc w:val="center"/>
        </w:trPr>
        <w:tc>
          <w:tcPr>
            <w:tcW w:w="5000" w:type="pct"/>
            <w:gridSpan w:val="6"/>
            <w:vAlign w:val="center"/>
          </w:tcPr>
          <w:p w:rsidR="009647BD" w:rsidRPr="00BE4A04" w:rsidRDefault="009647BD" w:rsidP="009647B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Инвестиции в основной капитал, прирост, %</w:t>
            </w:r>
          </w:p>
        </w:tc>
      </w:tr>
      <w:tr w:rsidR="009647BD" w:rsidRPr="00BE4A04" w:rsidTr="009647BD">
        <w:trPr>
          <w:jc w:val="center"/>
        </w:trPr>
        <w:tc>
          <w:tcPr>
            <w:tcW w:w="2321" w:type="pct"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577" w:type="pct"/>
            <w:vMerge w:val="restar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-14,03</w:t>
            </w:r>
          </w:p>
        </w:tc>
        <w:tc>
          <w:tcPr>
            <w:tcW w:w="577" w:type="pct"/>
            <w:vMerge w:val="restar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-6,22</w:t>
            </w:r>
          </w:p>
        </w:tc>
        <w:tc>
          <w:tcPr>
            <w:tcW w:w="511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-0,84</w:t>
            </w:r>
          </w:p>
        </w:tc>
        <w:tc>
          <w:tcPr>
            <w:tcW w:w="530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</w:t>
            </w:r>
          </w:p>
        </w:tc>
        <w:tc>
          <w:tcPr>
            <w:tcW w:w="484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-0,95</w:t>
            </w:r>
          </w:p>
        </w:tc>
      </w:tr>
      <w:tr w:rsidR="009647BD" w:rsidRPr="00BE4A04" w:rsidTr="009647BD">
        <w:trPr>
          <w:jc w:val="center"/>
        </w:trPr>
        <w:tc>
          <w:tcPr>
            <w:tcW w:w="2321" w:type="pct"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вариант</w:t>
            </w:r>
          </w:p>
        </w:tc>
        <w:tc>
          <w:tcPr>
            <w:tcW w:w="577" w:type="pct"/>
            <w:vMerge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vMerge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530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484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647BD" w:rsidRPr="00BE4A04" w:rsidTr="009647BD">
        <w:trPr>
          <w:jc w:val="center"/>
        </w:trPr>
        <w:tc>
          <w:tcPr>
            <w:tcW w:w="5000" w:type="pct"/>
            <w:gridSpan w:val="6"/>
            <w:vAlign w:val="center"/>
          </w:tcPr>
          <w:p w:rsidR="009647BD" w:rsidRPr="00BE4A04" w:rsidRDefault="009647BD" w:rsidP="009647B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Среднемесячная номинальная начисленная</w:t>
            </w:r>
            <w:proofErr w:type="gramEnd"/>
          </w:p>
          <w:p w:rsidR="009647BD" w:rsidRPr="00BE4A04" w:rsidRDefault="009647BD" w:rsidP="009647B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заработная плата работников организаций, рост, % к предыдущему году</w:t>
            </w:r>
          </w:p>
        </w:tc>
      </w:tr>
      <w:tr w:rsidR="009647BD" w:rsidRPr="00BE4A04" w:rsidTr="009647BD">
        <w:trPr>
          <w:jc w:val="center"/>
        </w:trPr>
        <w:tc>
          <w:tcPr>
            <w:tcW w:w="2321" w:type="pct"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577" w:type="pct"/>
            <w:vMerge w:val="restar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577" w:type="pct"/>
            <w:vMerge w:val="restar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511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530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484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9647BD" w:rsidRPr="00BE4A04" w:rsidTr="009647BD">
        <w:trPr>
          <w:jc w:val="center"/>
        </w:trPr>
        <w:tc>
          <w:tcPr>
            <w:tcW w:w="2321" w:type="pct"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вариант</w:t>
            </w:r>
          </w:p>
        </w:tc>
        <w:tc>
          <w:tcPr>
            <w:tcW w:w="577" w:type="pct"/>
            <w:vMerge/>
            <w:vAlign w:val="center"/>
          </w:tcPr>
          <w:p w:rsidR="009647BD" w:rsidRPr="00BE4A04" w:rsidRDefault="009647BD" w:rsidP="00160C0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vMerge/>
            <w:vAlign w:val="center"/>
          </w:tcPr>
          <w:p w:rsidR="009647BD" w:rsidRPr="00BE4A04" w:rsidRDefault="009647BD" w:rsidP="00160C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1" w:type="pct"/>
            <w:vAlign w:val="center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530" w:type="pct"/>
            <w:vAlign w:val="center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6,98</w:t>
            </w:r>
          </w:p>
        </w:tc>
        <w:tc>
          <w:tcPr>
            <w:tcW w:w="484" w:type="pct"/>
            <w:vAlign w:val="center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6,84</w:t>
            </w:r>
          </w:p>
        </w:tc>
      </w:tr>
      <w:tr w:rsidR="009647BD" w:rsidRPr="00BE4A04" w:rsidTr="009647BD">
        <w:trPr>
          <w:jc w:val="center"/>
        </w:trPr>
        <w:tc>
          <w:tcPr>
            <w:tcW w:w="5000" w:type="pct"/>
            <w:gridSpan w:val="6"/>
            <w:vAlign w:val="center"/>
          </w:tcPr>
          <w:p w:rsidR="009647BD" w:rsidRPr="00BE4A04" w:rsidRDefault="009647BD" w:rsidP="009647B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Оборот розничной торговли, прирост, %</w:t>
            </w:r>
          </w:p>
        </w:tc>
      </w:tr>
      <w:tr w:rsidR="009647BD" w:rsidRPr="00BE4A04" w:rsidTr="009647BD">
        <w:trPr>
          <w:jc w:val="center"/>
        </w:trPr>
        <w:tc>
          <w:tcPr>
            <w:tcW w:w="2321" w:type="pct"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577" w:type="pct"/>
            <w:vMerge w:val="restar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-3,9</w:t>
            </w:r>
          </w:p>
        </w:tc>
        <w:tc>
          <w:tcPr>
            <w:tcW w:w="577" w:type="pct"/>
            <w:vMerge w:val="restar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11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530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84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9647BD" w:rsidRPr="00BE4A04" w:rsidTr="009647BD">
        <w:trPr>
          <w:jc w:val="center"/>
        </w:trPr>
        <w:tc>
          <w:tcPr>
            <w:tcW w:w="2321" w:type="pct"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вариант</w:t>
            </w:r>
          </w:p>
        </w:tc>
        <w:tc>
          <w:tcPr>
            <w:tcW w:w="577" w:type="pct"/>
            <w:vMerge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vMerge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1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530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484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9647BD" w:rsidRPr="00BE4A04" w:rsidTr="009647BD">
        <w:trPr>
          <w:jc w:val="center"/>
        </w:trPr>
        <w:tc>
          <w:tcPr>
            <w:tcW w:w="5000" w:type="pct"/>
            <w:gridSpan w:val="6"/>
            <w:vAlign w:val="center"/>
          </w:tcPr>
          <w:p w:rsidR="009647BD" w:rsidRPr="00BE4A04" w:rsidRDefault="009647BD" w:rsidP="009647B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Индекс потребительских цен, прирост, %</w:t>
            </w:r>
          </w:p>
        </w:tc>
      </w:tr>
      <w:tr w:rsidR="009647BD" w:rsidRPr="00BE4A04" w:rsidTr="009647BD">
        <w:trPr>
          <w:jc w:val="center"/>
        </w:trPr>
        <w:tc>
          <w:tcPr>
            <w:tcW w:w="2321" w:type="pct"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577" w:type="pct"/>
            <w:vMerge w:val="restar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12,62</w:t>
            </w:r>
          </w:p>
        </w:tc>
        <w:tc>
          <w:tcPr>
            <w:tcW w:w="577" w:type="pct"/>
            <w:vMerge w:val="restart"/>
            <w:vAlign w:val="center"/>
          </w:tcPr>
          <w:p w:rsidR="009647BD" w:rsidRPr="00BE4A04" w:rsidRDefault="009647BD" w:rsidP="00160C01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511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530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4.5</w:t>
            </w:r>
          </w:p>
        </w:tc>
        <w:tc>
          <w:tcPr>
            <w:tcW w:w="484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4.0</w:t>
            </w:r>
          </w:p>
        </w:tc>
      </w:tr>
      <w:tr w:rsidR="009647BD" w:rsidRPr="00BE4A04" w:rsidTr="009647BD">
        <w:trPr>
          <w:jc w:val="center"/>
        </w:trPr>
        <w:tc>
          <w:tcPr>
            <w:tcW w:w="2321" w:type="pct"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r w:rsidRPr="00BE4A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вариант</w:t>
            </w:r>
          </w:p>
        </w:tc>
        <w:tc>
          <w:tcPr>
            <w:tcW w:w="577" w:type="pct"/>
            <w:vMerge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vMerge/>
            <w:vAlign w:val="center"/>
          </w:tcPr>
          <w:p w:rsidR="009647BD" w:rsidRPr="00BE4A04" w:rsidRDefault="009647BD" w:rsidP="009647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5.0</w:t>
            </w:r>
          </w:p>
        </w:tc>
        <w:tc>
          <w:tcPr>
            <w:tcW w:w="530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4.0</w:t>
            </w:r>
          </w:p>
        </w:tc>
        <w:tc>
          <w:tcPr>
            <w:tcW w:w="484" w:type="pct"/>
          </w:tcPr>
          <w:p w:rsidR="009647BD" w:rsidRPr="00BE4A04" w:rsidRDefault="009647BD" w:rsidP="00160C01">
            <w:pPr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4A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4.0</w:t>
            </w:r>
          </w:p>
        </w:tc>
      </w:tr>
    </w:tbl>
    <w:p w:rsidR="00941C80" w:rsidRPr="00BE4A04" w:rsidRDefault="00907492" w:rsidP="00FB76C6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4A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Таблица </w:t>
      </w:r>
      <w:r w:rsidR="00160C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2.2.</w:t>
      </w:r>
      <w:r w:rsidRPr="00BE4A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Основные показатели прогноза социально-экономического развития </w:t>
      </w:r>
      <w:proofErr w:type="gramStart"/>
      <w:r w:rsidRPr="00BE4A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Петропавловск-Камчатского</w:t>
      </w:r>
      <w:proofErr w:type="gramEnd"/>
      <w:r w:rsidRPr="00BE4A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городского округа на </w:t>
      </w:r>
      <w:r w:rsidR="00941C80" w:rsidRPr="00BE4A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2017 годи и </w:t>
      </w:r>
    </w:p>
    <w:p w:rsidR="00907492" w:rsidRPr="00BE4A04" w:rsidRDefault="00941C80" w:rsidP="00FB76C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4A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плановый период</w:t>
      </w:r>
      <w:r w:rsidR="00907492" w:rsidRPr="00BE4A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201</w:t>
      </w:r>
      <w:r w:rsidRPr="00BE4A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8 и </w:t>
      </w:r>
      <w:r w:rsidR="00907492" w:rsidRPr="00BE4A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2019 годов</w:t>
      </w:r>
    </w:p>
    <w:p w:rsidR="009647BD" w:rsidRPr="00BE4A04" w:rsidRDefault="009647BD" w:rsidP="009647BD">
      <w:pPr>
        <w:spacing w:after="0"/>
        <w:rPr>
          <w:rFonts w:ascii="Times New Roman" w:eastAsia="Calibri" w:hAnsi="Times New Roman" w:cs="Times New Roman"/>
          <w:sz w:val="28"/>
        </w:rPr>
      </w:pPr>
      <w:r w:rsidRPr="00A5575B">
        <w:rPr>
          <w:rFonts w:ascii="Times New Roman" w:eastAsia="Calibri" w:hAnsi="Times New Roman" w:cs="Times New Roman"/>
          <w:sz w:val="28"/>
        </w:rPr>
        <w:t>В 2015 году реальный сектор экономики и бюджетная система Р</w:t>
      </w:r>
      <w:r w:rsidR="00FB76C6" w:rsidRPr="00A5575B">
        <w:rPr>
          <w:rFonts w:ascii="Times New Roman" w:eastAsia="Calibri" w:hAnsi="Times New Roman" w:cs="Times New Roman"/>
          <w:sz w:val="28"/>
        </w:rPr>
        <w:t>Ф</w:t>
      </w:r>
      <w:r w:rsidRPr="00BE4A04">
        <w:rPr>
          <w:rFonts w:ascii="Times New Roman" w:eastAsia="Calibri" w:hAnsi="Times New Roman" w:cs="Times New Roman"/>
          <w:sz w:val="28"/>
        </w:rPr>
        <w:t xml:space="preserve"> продолжали испытывать значительные нагрузки из-за низких цен на нефть, девальвации национальной валюты, удорожания кредитных ресурсов внутри страны, высокого инфляционного роста, что привело к снижению инвестиционного и потребительского спроса.</w:t>
      </w:r>
    </w:p>
    <w:p w:rsidR="009647BD" w:rsidRPr="00BE4A04" w:rsidRDefault="009647BD" w:rsidP="00FB76C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E4A04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Общероссийские макроэкономические условия отразились на развитии экономики городского округа, но при этом</w:t>
      </w:r>
      <w:r w:rsidRPr="00BE4A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социально-экономическая ситуация в городском округе </w:t>
      </w:r>
      <w:r w:rsidRPr="00BE4A04">
        <w:rPr>
          <w:rFonts w:ascii="Times New Roman" w:eastAsia="Calibri" w:hAnsi="Times New Roman" w:cs="Times New Roman"/>
          <w:bCs/>
          <w:sz w:val="28"/>
          <w:szCs w:val="28"/>
        </w:rPr>
        <w:t>характеризуется относительно стабильной.</w:t>
      </w:r>
    </w:p>
    <w:p w:rsidR="009647BD" w:rsidRPr="00BE4A04" w:rsidRDefault="009647BD" w:rsidP="00FB76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Отдельные отрасли экономики объективно показали снижение темпов развития: снизились относительно уровня 2014 года </w:t>
      </w:r>
      <w:r w:rsidRPr="00BE4A04">
        <w:rPr>
          <w:rFonts w:ascii="Times New Roman" w:hAnsi="Times New Roman" w:cs="Times New Roman"/>
          <w:sz w:val="28"/>
          <w:szCs w:val="28"/>
        </w:rPr>
        <w:t>оборот розничной торговли (96,1 %), оборот общественного питания (95,1 %), объем платных услуг населению (95,7 %).</w:t>
      </w:r>
    </w:p>
    <w:p w:rsidR="009647BD" w:rsidRPr="00BE4A04" w:rsidRDefault="009647BD" w:rsidP="005715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характеризуется снижением уровня инвестиционной активности. Инвестиции в основной капитал организаций, не относящихся к субъектам малого предпринимательства, составили 9144,7 млрд. рублей, что ниже уровня 2014 года на 18,4 % в действующих ценах. Индекс физического объема инвестиционных вложений составил 76,7 %.</w:t>
      </w:r>
    </w:p>
    <w:p w:rsidR="005715B2" w:rsidRPr="00BE4A04" w:rsidRDefault="009647BD" w:rsidP="005715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По сравнению с 2014 годом реальная заработная плата составила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96,2 % (в 2014 году </w:t>
      </w:r>
      <w:r w:rsidR="00ED0706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102,4 %).</w:t>
      </w: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 На начало 2016 года уровень регистрируемой безработицы составил 0,88 % от экономически активного населения,</w:t>
      </w:r>
      <w:r w:rsidRPr="00BE4A04">
        <w:rPr>
          <w:rFonts w:ascii="Times New Roman" w:hAnsi="Times New Roman" w:cs="Times New Roman"/>
          <w:sz w:val="28"/>
          <w:szCs w:val="28"/>
        </w:rPr>
        <w:t xml:space="preserve"> </w:t>
      </w:r>
      <w:r w:rsidR="00ED0706" w:rsidRPr="00BE4A04">
        <w:rPr>
          <w:rFonts w:ascii="Times New Roman" w:hAnsi="Times New Roman" w:cs="Times New Roman"/>
          <w:sz w:val="28"/>
          <w:szCs w:val="28"/>
        </w:rPr>
        <w:t xml:space="preserve">повысился на 0,19 процентных пунктов относительно аналогичного </w:t>
      </w:r>
      <w:r w:rsidRPr="00BE4A04">
        <w:rPr>
          <w:rFonts w:ascii="Times New Roman" w:hAnsi="Times New Roman" w:cs="Times New Roman"/>
          <w:sz w:val="28"/>
          <w:szCs w:val="28"/>
        </w:rPr>
        <w:t>показател</w:t>
      </w:r>
      <w:r w:rsidR="00ED0706" w:rsidRPr="00BE4A04">
        <w:rPr>
          <w:rFonts w:ascii="Times New Roman" w:hAnsi="Times New Roman" w:cs="Times New Roman"/>
          <w:sz w:val="28"/>
          <w:szCs w:val="28"/>
        </w:rPr>
        <w:t>я</w:t>
      </w:r>
      <w:r w:rsidRPr="00BE4A04">
        <w:rPr>
          <w:rFonts w:ascii="Times New Roman" w:hAnsi="Times New Roman" w:cs="Times New Roman"/>
          <w:sz w:val="28"/>
          <w:szCs w:val="28"/>
        </w:rPr>
        <w:t xml:space="preserve"> на начало 2015 года.</w:t>
      </w:r>
    </w:p>
    <w:p w:rsidR="005715B2" w:rsidRPr="00BE4A04" w:rsidRDefault="009647BD" w:rsidP="005715B2">
      <w:pPr>
        <w:spacing w:after="0"/>
        <w:rPr>
          <w:rFonts w:ascii="Times New Roman" w:eastAsia="Calibri" w:hAnsi="Times New Roman" w:cs="Times New Roman"/>
          <w:sz w:val="28"/>
        </w:rPr>
      </w:pPr>
      <w:r w:rsidRPr="00BE4A04">
        <w:rPr>
          <w:rFonts w:ascii="Times New Roman" w:eastAsia="Calibri" w:hAnsi="Times New Roman" w:cs="Times New Roman"/>
          <w:sz w:val="28"/>
        </w:rPr>
        <w:t xml:space="preserve">Сохранили положительную динамику </w:t>
      </w:r>
      <w:r w:rsidR="00ED0706" w:rsidRPr="00BE4A04">
        <w:rPr>
          <w:rFonts w:ascii="Times New Roman" w:eastAsia="Calibri" w:hAnsi="Times New Roman" w:cs="Times New Roman"/>
          <w:sz w:val="28"/>
        </w:rPr>
        <w:t>п</w:t>
      </w:r>
      <w:r w:rsidR="005715B2" w:rsidRPr="00BE4A04">
        <w:rPr>
          <w:rFonts w:ascii="Times New Roman" w:eastAsia="Calibri" w:hAnsi="Times New Roman" w:cs="Times New Roman"/>
          <w:sz w:val="28"/>
        </w:rPr>
        <w:t>о</w:t>
      </w:r>
      <w:r w:rsidR="00ED0706" w:rsidRPr="00BE4A04">
        <w:rPr>
          <w:rFonts w:ascii="Times New Roman" w:eastAsia="Calibri" w:hAnsi="Times New Roman" w:cs="Times New Roman"/>
          <w:sz w:val="28"/>
        </w:rPr>
        <w:t xml:space="preserve"> сравнению с</w:t>
      </w:r>
      <w:r w:rsidRPr="00BE4A04">
        <w:rPr>
          <w:rFonts w:ascii="Times New Roman" w:eastAsia="Calibri" w:hAnsi="Times New Roman" w:cs="Times New Roman"/>
          <w:sz w:val="28"/>
        </w:rPr>
        <w:t xml:space="preserve"> 2014 год</w:t>
      </w:r>
      <w:r w:rsidR="00ED0706" w:rsidRPr="00BE4A04">
        <w:rPr>
          <w:rFonts w:ascii="Times New Roman" w:eastAsia="Calibri" w:hAnsi="Times New Roman" w:cs="Times New Roman"/>
          <w:sz w:val="28"/>
        </w:rPr>
        <w:t>ом</w:t>
      </w:r>
      <w:r w:rsidR="005715B2" w:rsidRPr="00BE4A04">
        <w:rPr>
          <w:rFonts w:ascii="Times New Roman" w:eastAsia="Calibri" w:hAnsi="Times New Roman" w:cs="Times New Roman"/>
          <w:sz w:val="28"/>
        </w:rPr>
        <w:t xml:space="preserve">: </w:t>
      </w:r>
      <w:r w:rsidRPr="00BE4A04">
        <w:rPr>
          <w:rFonts w:ascii="Times New Roman" w:eastAsia="Calibri" w:hAnsi="Times New Roman" w:cs="Times New Roman"/>
          <w:sz w:val="28"/>
        </w:rPr>
        <w:t>промышленное производства (</w:t>
      </w:r>
      <w:r w:rsidR="005715B2" w:rsidRPr="00BE4A04">
        <w:rPr>
          <w:rFonts w:ascii="Times New Roman" w:eastAsia="Calibri" w:hAnsi="Times New Roman" w:cs="Times New Roman"/>
          <w:sz w:val="28"/>
        </w:rPr>
        <w:t xml:space="preserve">индекс физического производства - </w:t>
      </w:r>
      <w:r w:rsidRPr="00BE4A04">
        <w:rPr>
          <w:rFonts w:ascii="Times New Roman" w:eastAsia="Calibri" w:hAnsi="Times New Roman" w:cs="Times New Roman"/>
          <w:sz w:val="28"/>
        </w:rPr>
        <w:t>102,4 %), производство в обрабатывающих отраслях (104,6%), в том числе в пищевой промышленности (106,8 %), объем строительных работ (108,1 %),</w:t>
      </w:r>
      <w:r w:rsidRPr="00BE4A04">
        <w:rPr>
          <w:rFonts w:ascii="Times New Roman" w:hAnsi="Times New Roman" w:cs="Times New Roman"/>
        </w:rPr>
        <w:t xml:space="preserve"> </w:t>
      </w:r>
      <w:r w:rsidRPr="00BE4A04">
        <w:rPr>
          <w:rFonts w:ascii="Times New Roman" w:eastAsia="Calibri" w:hAnsi="Times New Roman" w:cs="Times New Roman"/>
          <w:sz w:val="28"/>
        </w:rPr>
        <w:t>производства сельского хозяйства (101,3 %).</w:t>
      </w:r>
    </w:p>
    <w:p w:rsidR="009647BD" w:rsidRPr="00BE4A04" w:rsidRDefault="009647BD" w:rsidP="005715B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A04">
        <w:rPr>
          <w:rFonts w:ascii="Times New Roman" w:hAnsi="Times New Roman" w:cs="Times New Roman"/>
          <w:sz w:val="28"/>
          <w:szCs w:val="28"/>
        </w:rPr>
        <w:lastRenderedPageBreak/>
        <w:t xml:space="preserve">Объём отгруженной продукции собственного производства, выполненных работ и услуг по всем видам экономической деятельности </w:t>
      </w:r>
      <w:r w:rsidRPr="00360B40">
        <w:rPr>
          <w:rFonts w:ascii="Times New Roman" w:hAnsi="Times New Roman" w:cs="Times New Roman"/>
          <w:sz w:val="28"/>
          <w:szCs w:val="28"/>
        </w:rPr>
        <w:t>составил 63 750,0 миллионов</w:t>
      </w:r>
      <w:r w:rsidRPr="00BE4A04">
        <w:rPr>
          <w:rFonts w:ascii="Times New Roman" w:hAnsi="Times New Roman" w:cs="Times New Roman"/>
          <w:sz w:val="28"/>
          <w:szCs w:val="28"/>
        </w:rPr>
        <w:t xml:space="preserve"> рублей, что на 30,5 % выше уровня 2014 года.</w:t>
      </w:r>
    </w:p>
    <w:p w:rsidR="009647BD" w:rsidRPr="00BE4A04" w:rsidRDefault="009647BD" w:rsidP="005715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Демографическая ситуация в 2015 году характеризовалась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продолжающимся превышением рождаемости над смертностью, но недостаточным, чтобы полностью компенсировать миграционную убыль.</w:t>
      </w:r>
      <w:r w:rsidRPr="00BE4A04">
        <w:rPr>
          <w:rFonts w:ascii="Times New Roman" w:hAnsi="Times New Roman" w:cs="Times New Roman"/>
          <w:sz w:val="28"/>
          <w:szCs w:val="28"/>
        </w:rPr>
        <w:t xml:space="preserve"> Снижение численности населения на 52 человека обусловили миграционные процессы.</w:t>
      </w:r>
    </w:p>
    <w:p w:rsidR="00BF42DA" w:rsidRPr="00BE4A04" w:rsidRDefault="005715B2" w:rsidP="00BF42DA">
      <w:pPr>
        <w:spacing w:after="0"/>
        <w:rPr>
          <w:iCs/>
          <w:szCs w:val="28"/>
        </w:rPr>
      </w:pP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BE4A04">
        <w:rPr>
          <w:rFonts w:ascii="Times New Roman" w:hAnsi="Times New Roman" w:cs="Times New Roman"/>
          <w:sz w:val="28"/>
          <w:szCs w:val="28"/>
        </w:rPr>
        <w:t>январе - июне</w:t>
      </w: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 2016 года </w:t>
      </w:r>
      <w:proofErr w:type="gramStart"/>
      <w:r w:rsidRPr="00BE4A04">
        <w:rPr>
          <w:rFonts w:ascii="Times New Roman" w:hAnsi="Times New Roman" w:cs="Times New Roman"/>
          <w:iCs/>
          <w:sz w:val="28"/>
          <w:szCs w:val="28"/>
        </w:rPr>
        <w:t>в наблюдается</w:t>
      </w:r>
      <w:proofErr w:type="gramEnd"/>
      <w:r w:rsidRPr="00BE4A04">
        <w:rPr>
          <w:rFonts w:ascii="Times New Roman" w:hAnsi="Times New Roman" w:cs="Times New Roman"/>
          <w:iCs/>
          <w:sz w:val="28"/>
          <w:szCs w:val="28"/>
        </w:rPr>
        <w:t xml:space="preserve"> рост основных социально-экономических показателей: </w:t>
      </w:r>
      <w:r w:rsidRPr="00BE4A04">
        <w:rPr>
          <w:rFonts w:ascii="Times New Roman" w:eastAsia="Calibri" w:hAnsi="Times New Roman" w:cs="Times New Roman"/>
          <w:sz w:val="28"/>
          <w:szCs w:val="28"/>
        </w:rPr>
        <w:t>индекс промышленного производства составил 103,3 %</w:t>
      </w:r>
      <w:r w:rsidRPr="00BE4A04">
        <w:rPr>
          <w:rFonts w:ascii="Times New Roman" w:hAnsi="Times New Roman" w:cs="Times New Roman"/>
          <w:sz w:val="28"/>
          <w:szCs w:val="28"/>
        </w:rPr>
        <w:t xml:space="preserve"> к январю </w:t>
      </w:r>
      <w:r w:rsidR="00BF42DA" w:rsidRPr="00BE4A04">
        <w:rPr>
          <w:rFonts w:ascii="Times New Roman" w:hAnsi="Times New Roman" w:cs="Times New Roman"/>
          <w:sz w:val="28"/>
          <w:szCs w:val="28"/>
        </w:rPr>
        <w:t>-</w:t>
      </w:r>
      <w:r w:rsidRPr="00BE4A04">
        <w:rPr>
          <w:rFonts w:ascii="Times New Roman" w:hAnsi="Times New Roman" w:cs="Times New Roman"/>
          <w:sz w:val="28"/>
          <w:szCs w:val="28"/>
        </w:rPr>
        <w:t xml:space="preserve"> июню 2015 года</w:t>
      </w:r>
      <w:r w:rsidRPr="00BE4A04">
        <w:rPr>
          <w:rFonts w:ascii="Times New Roman" w:eastAsia="Calibri" w:hAnsi="Times New Roman" w:cs="Times New Roman"/>
          <w:sz w:val="28"/>
          <w:szCs w:val="28"/>
        </w:rPr>
        <w:t>; производства и распределения электроэнергии, газа и воды (</w:t>
      </w:r>
      <w:r w:rsidR="006B5F3C" w:rsidRPr="00BE4A04">
        <w:rPr>
          <w:rFonts w:ascii="Times New Roman" w:eastAsia="Calibri" w:hAnsi="Times New Roman" w:cs="Times New Roman"/>
          <w:sz w:val="28"/>
          <w:szCs w:val="28"/>
        </w:rPr>
        <w:t>101,2</w:t>
      </w: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 %), обрабатывающих производств</w:t>
      </w:r>
      <w:r w:rsidR="006B5F3C" w:rsidRPr="00BE4A04">
        <w:rPr>
          <w:rFonts w:ascii="Times New Roman" w:eastAsia="Calibri" w:hAnsi="Times New Roman" w:cs="Times New Roman"/>
          <w:sz w:val="28"/>
          <w:szCs w:val="28"/>
        </w:rPr>
        <w:t xml:space="preserve"> (103,7</w:t>
      </w:r>
      <w:r w:rsidRPr="00BE4A04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 w:rsidR="006B5F3C" w:rsidRPr="00BE4A04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="00C76FA6" w:rsidRPr="00BE4A04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6B5F3C" w:rsidRPr="00BE4A04">
        <w:rPr>
          <w:rFonts w:ascii="Times New Roman" w:eastAsia="Calibri" w:hAnsi="Times New Roman" w:cs="Times New Roman"/>
          <w:sz w:val="28"/>
          <w:szCs w:val="28"/>
        </w:rPr>
        <w:t xml:space="preserve">добыче полезных ископаемых (153,6 %). </w:t>
      </w:r>
      <w:r w:rsidR="00BF42DA" w:rsidRPr="00BE4A04">
        <w:rPr>
          <w:rFonts w:ascii="Times New Roman" w:hAnsi="Times New Roman"/>
          <w:sz w:val="28"/>
          <w:szCs w:val="28"/>
        </w:rPr>
        <w:t>О</w:t>
      </w:r>
      <w:r w:rsidR="00BF42DA" w:rsidRPr="00BE4A04">
        <w:rPr>
          <w:rFonts w:ascii="Times New Roman" w:eastAsia="Calibri" w:hAnsi="Times New Roman" w:cs="Times New Roman"/>
          <w:sz w:val="28"/>
          <w:szCs w:val="28"/>
        </w:rPr>
        <w:t xml:space="preserve">бъем отгруженных товаров собственного производства, выполненных работ и услуг в действующих ценах увеличился на 1,8 % относительно аналогичного показателя </w:t>
      </w:r>
      <w:r w:rsidR="00BF42DA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- июня</w:t>
      </w:r>
      <w:r w:rsidR="00BF42DA" w:rsidRPr="00BE4A04">
        <w:rPr>
          <w:rFonts w:ascii="Times New Roman" w:eastAsia="Calibri" w:hAnsi="Times New Roman" w:cs="Times New Roman"/>
          <w:sz w:val="28"/>
          <w:szCs w:val="28"/>
        </w:rPr>
        <w:t xml:space="preserve"> 2015 года.</w:t>
      </w:r>
    </w:p>
    <w:p w:rsidR="000E75F2" w:rsidRDefault="005715B2" w:rsidP="000E75F2">
      <w:pPr>
        <w:tabs>
          <w:tab w:val="left" w:pos="3352"/>
          <w:tab w:val="left" w:pos="4883"/>
          <w:tab w:val="left" w:pos="6525"/>
          <w:tab w:val="left" w:pos="787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A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 - июне</w:t>
      </w:r>
      <w:r w:rsidRPr="00BE4A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2016 года </w:t>
      </w:r>
      <w:r w:rsidR="00C76FA6" w:rsidRPr="00BE4A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C76FA6" w:rsidRPr="00BE4A04">
        <w:rPr>
          <w:rFonts w:ascii="Times New Roman" w:hAnsi="Times New Roman" w:cs="Times New Roman"/>
          <w:sz w:val="28"/>
          <w:szCs w:val="28"/>
        </w:rPr>
        <w:t xml:space="preserve">реднемесячная начисленная заработная плата работников </w:t>
      </w:r>
      <w:r w:rsidR="001C551F" w:rsidRPr="00BE4A04">
        <w:rPr>
          <w:rFonts w:ascii="Times New Roman" w:hAnsi="Times New Roman" w:cs="Times New Roman"/>
          <w:sz w:val="28"/>
          <w:szCs w:val="28"/>
        </w:rPr>
        <w:t xml:space="preserve">организаций городского округа </w:t>
      </w:r>
      <w:r w:rsidR="00C76FA6" w:rsidRPr="00BE4A04">
        <w:rPr>
          <w:rFonts w:ascii="Times New Roman" w:hAnsi="Times New Roman" w:cs="Times New Roman"/>
          <w:sz w:val="28"/>
          <w:szCs w:val="28"/>
        </w:rPr>
        <w:t xml:space="preserve">составила 71,52 тыс. рублей, </w:t>
      </w:r>
      <w:r w:rsidRPr="00BE4A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еальная заработная плата </w:t>
      </w:r>
      <w:r w:rsidR="00C76FA6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сложилась на уровне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 w:rsidR="00C76FA6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6FA6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BF42DA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FA6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</w:t>
      </w:r>
      <w:r w:rsidR="00C76FA6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-июн</w:t>
      </w:r>
      <w:r w:rsidR="00C76FA6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года.</w:t>
      </w:r>
      <w:r w:rsidR="00BF42DA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FA6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борот розничной торговли увеличился на 23,8 %, объем платных услуг </w:t>
      </w:r>
      <w:r w:rsidR="00122AEB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населению </w:t>
      </w:r>
      <w:r w:rsidR="00BF42DA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1,6 % в действующих ценах</w:t>
      </w:r>
      <w:r w:rsidR="00BF42DA"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соответствующему периоду 2015 года</w:t>
      </w:r>
      <w:r w:rsidRPr="00BE4A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4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A04" w:rsidRPr="000E75F2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Параметры, заложенные в Прогнозе:</w:t>
      </w:r>
    </w:p>
    <w:p w:rsidR="00BE4A04" w:rsidRPr="000E75F2" w:rsidRDefault="00BE4A04" w:rsidP="000E75F2">
      <w:pPr>
        <w:tabs>
          <w:tab w:val="left" w:pos="3352"/>
          <w:tab w:val="left" w:pos="4883"/>
          <w:tab w:val="left" w:pos="6525"/>
          <w:tab w:val="left" w:pos="7875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5F2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ожидается, что в 2019 году по отношению к 2015 году:</w:t>
      </w:r>
    </w:p>
    <w:p w:rsidR="00BE4A04" w:rsidRPr="000E75F2" w:rsidRDefault="00BE4A04" w:rsidP="001433D1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индекс промышленного производства составит </w:t>
      </w:r>
      <w:r w:rsidR="00E541FB"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108,2</w:t>
      </w:r>
      <w:r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%;</w:t>
      </w:r>
    </w:p>
    <w:p w:rsidR="00BE4A04" w:rsidRPr="000E75F2" w:rsidRDefault="00BE4A04" w:rsidP="001433D1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индекс физического объема инвестиций в основной капитал – </w:t>
      </w:r>
      <w:r w:rsidR="000E75F2"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%;</w:t>
      </w:r>
    </w:p>
    <w:p w:rsidR="00BE4A04" w:rsidRPr="000E75F2" w:rsidRDefault="00BE4A04" w:rsidP="001433D1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индекс физического объема оборота розничной торговли – 10</w:t>
      </w:r>
      <w:r w:rsidR="000E75F2"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3,6</w:t>
      </w:r>
      <w:r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%;</w:t>
      </w:r>
    </w:p>
    <w:p w:rsidR="00BE4A04" w:rsidRDefault="00BE4A04" w:rsidP="001433D1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темп роста номинальной заработной платы работающих по полному кругу организаций </w:t>
      </w:r>
      <w:r w:rsidR="000E75F2"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75F2"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121,5 </w:t>
      </w:r>
      <w:r w:rsidRPr="000E7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1F696A" w:rsidRPr="00BE4A04" w:rsidRDefault="001F696A" w:rsidP="001433D1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696A" w:rsidRDefault="004153CE" w:rsidP="001F696A">
      <w:pPr>
        <w:pStyle w:val="1"/>
      </w:pPr>
      <w:bookmarkStart w:id="18" w:name="_Toc465927687"/>
      <w:r w:rsidRPr="001F696A">
        <w:t>3. Промышленность</w:t>
      </w:r>
      <w:bookmarkEnd w:id="18"/>
    </w:p>
    <w:p w:rsidR="001F696A" w:rsidRPr="001F696A" w:rsidRDefault="001F696A" w:rsidP="001F696A"/>
    <w:p w:rsidR="004153CE" w:rsidRPr="00EC20F8" w:rsidRDefault="004153CE" w:rsidP="005715B2">
      <w:pPr>
        <w:widowControl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EFD">
        <w:rPr>
          <w:rFonts w:ascii="Times New Roman" w:hAnsi="Times New Roman" w:cs="Times New Roman"/>
          <w:sz w:val="28"/>
          <w:szCs w:val="28"/>
        </w:rPr>
        <w:t xml:space="preserve">В 2015 году индекс промышленного производства составил 102,4 %. Увеличение промышленного производства обусловлено увеличением производства пищевых продуктов, основу которого составляет </w:t>
      </w:r>
      <w:proofErr w:type="spellStart"/>
      <w:r w:rsidRPr="00640EFD">
        <w:rPr>
          <w:rFonts w:ascii="Times New Roman" w:hAnsi="Times New Roman" w:cs="Times New Roman"/>
          <w:sz w:val="28"/>
          <w:szCs w:val="28"/>
        </w:rPr>
        <w:t>рыбоперерабатывающая</w:t>
      </w:r>
      <w:proofErr w:type="spellEnd"/>
      <w:r w:rsidRPr="00640EFD">
        <w:rPr>
          <w:rFonts w:ascii="Times New Roman" w:hAnsi="Times New Roman" w:cs="Times New Roman"/>
          <w:sz w:val="28"/>
          <w:szCs w:val="28"/>
        </w:rPr>
        <w:t xml:space="preserve"> промышленность, индекс производства которой составил 106,8 %. Промышленными предприятиями городского округа произведено продукции на сумму </w:t>
      </w:r>
      <w:r w:rsidRPr="00640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49 253,3 </w:t>
      </w:r>
      <w:proofErr w:type="gramStart"/>
      <w:r w:rsidRPr="00640EF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42528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149,4</w:t>
      </w:r>
      <w:r w:rsidRPr="0042528A">
        <w:rPr>
          <w:rFonts w:ascii="Times New Roman" w:eastAsia="Times New Roman" w:hAnsi="Times New Roman"/>
          <w:sz w:val="28"/>
          <w:szCs w:val="28"/>
          <w:lang w:eastAsia="ru-RU"/>
        </w:rPr>
        <w:t xml:space="preserve"> % к уровню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2528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  <w:r w:rsidRPr="00EC20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D5536">
        <w:rPr>
          <w:rFonts w:ascii="Times New Roman" w:eastAsia="Times New Roman" w:hAnsi="Times New Roman"/>
          <w:sz w:val="28"/>
          <w:szCs w:val="28"/>
          <w:lang w:eastAsia="ru-RU"/>
        </w:rPr>
        <w:t>Доля объема промышленной продукции городского округа в общем объеме производства Камчатского края составила 53,5 %.</w:t>
      </w:r>
    </w:p>
    <w:p w:rsidR="004153CE" w:rsidRPr="00864758" w:rsidRDefault="004153CE" w:rsidP="00907492">
      <w:pPr>
        <w:spacing w:after="0"/>
        <w:rPr>
          <w:rFonts w:ascii="Times New Roman" w:hAnsi="Times New Roman"/>
          <w:sz w:val="28"/>
          <w:szCs w:val="28"/>
        </w:rPr>
      </w:pPr>
      <w:r w:rsidRPr="00EC20F8">
        <w:rPr>
          <w:rFonts w:ascii="Times New Roman" w:hAnsi="Times New Roman"/>
          <w:sz w:val="28"/>
          <w:szCs w:val="28"/>
        </w:rPr>
        <w:t xml:space="preserve">Промышленность городского округа имеет традиционно сложившуюся отраслевую структуру: обрабатывающие производства, добыча полезных ископаемых, производство и распределение электроэнергии, газа и воды. </w:t>
      </w:r>
      <w:r w:rsidRPr="00864758">
        <w:rPr>
          <w:rFonts w:ascii="Times New Roman" w:hAnsi="Times New Roman"/>
          <w:bCs/>
          <w:spacing w:val="-2"/>
          <w:kern w:val="36"/>
          <w:sz w:val="28"/>
          <w:szCs w:val="28"/>
        </w:rPr>
        <w:t>Сохран</w:t>
      </w:r>
      <w:r>
        <w:rPr>
          <w:rFonts w:ascii="Times New Roman" w:hAnsi="Times New Roman"/>
          <w:bCs/>
          <w:spacing w:val="-2"/>
          <w:kern w:val="36"/>
          <w:sz w:val="28"/>
          <w:szCs w:val="28"/>
        </w:rPr>
        <w:t>яе</w:t>
      </w:r>
      <w:r w:rsidRPr="00864758">
        <w:rPr>
          <w:rFonts w:ascii="Times New Roman" w:hAnsi="Times New Roman"/>
          <w:bCs/>
          <w:spacing w:val="-2"/>
          <w:kern w:val="36"/>
          <w:sz w:val="28"/>
          <w:szCs w:val="28"/>
        </w:rPr>
        <w:t xml:space="preserve">тся тенденция </w:t>
      </w:r>
      <w:r>
        <w:rPr>
          <w:rFonts w:ascii="Times New Roman" w:hAnsi="Times New Roman"/>
          <w:bCs/>
          <w:spacing w:val="-2"/>
          <w:kern w:val="36"/>
          <w:sz w:val="28"/>
          <w:szCs w:val="28"/>
        </w:rPr>
        <w:t xml:space="preserve">преобладания </w:t>
      </w:r>
      <w:r w:rsidRPr="00864758">
        <w:rPr>
          <w:rFonts w:ascii="Times New Roman" w:hAnsi="Times New Roman"/>
          <w:bCs/>
          <w:spacing w:val="-2"/>
          <w:kern w:val="36"/>
          <w:sz w:val="28"/>
          <w:szCs w:val="28"/>
        </w:rPr>
        <w:t>обрабатывающих производств</w:t>
      </w:r>
      <w:r>
        <w:rPr>
          <w:rFonts w:ascii="Times New Roman" w:hAnsi="Times New Roman"/>
          <w:bCs/>
          <w:spacing w:val="-2"/>
          <w:kern w:val="36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81,6</w:t>
      </w:r>
      <w:r w:rsidRPr="00864758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 в общем объеме</w:t>
      </w:r>
      <w:r w:rsidRPr="00864758">
        <w:rPr>
          <w:rFonts w:ascii="Times New Roman" w:hAnsi="Times New Roman"/>
          <w:sz w:val="28"/>
          <w:szCs w:val="28"/>
        </w:rPr>
        <w:t xml:space="preserve"> промышленного производства (рисунок 3.1.)</w:t>
      </w:r>
      <w:r w:rsidR="00B86867">
        <w:rPr>
          <w:rFonts w:ascii="Times New Roman" w:hAnsi="Times New Roman"/>
          <w:sz w:val="28"/>
          <w:szCs w:val="28"/>
        </w:rPr>
        <w:t>:</w:t>
      </w:r>
    </w:p>
    <w:p w:rsidR="004153CE" w:rsidRPr="00EC20F8" w:rsidRDefault="00025E70" w:rsidP="00025E7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bdr w:val="single" w:sz="4" w:space="0" w:color="auto"/>
          <w:lang w:eastAsia="ru-RU"/>
        </w:rPr>
        <w:lastRenderedPageBreak/>
        <w:drawing>
          <wp:inline distT="0" distB="0" distL="0" distR="0" wp14:anchorId="605167D4" wp14:editId="2E090DAD">
            <wp:extent cx="4692770" cy="1777041"/>
            <wp:effectExtent l="0" t="0" r="12700" b="13970"/>
            <wp:docPr id="1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153CE" w:rsidRPr="00EC20F8" w:rsidRDefault="004153CE" w:rsidP="006C5B32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EC20F8">
        <w:rPr>
          <w:rFonts w:ascii="Times New Roman" w:hAnsi="Times New Roman"/>
          <w:i/>
          <w:sz w:val="24"/>
          <w:szCs w:val="24"/>
        </w:rPr>
        <w:t>Рис. 3.1.Структура промышленного производства</w:t>
      </w:r>
    </w:p>
    <w:p w:rsidR="004153CE" w:rsidRPr="006C02D6" w:rsidRDefault="004153CE" w:rsidP="00025E70">
      <w:pPr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 w:rsidRPr="00EC20F8">
        <w:rPr>
          <w:rFonts w:ascii="Times New Roman" w:eastAsia="Times New Roman" w:hAnsi="Times New Roman"/>
          <w:i/>
          <w:sz w:val="24"/>
          <w:szCs w:val="24"/>
          <w:lang w:eastAsia="ru-RU"/>
        </w:rPr>
        <w:t>Петропавловск-Камчатского</w:t>
      </w:r>
      <w:proofErr w:type="gramEnd"/>
      <w:r w:rsidRPr="00EC20F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городского округа в 201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5</w:t>
      </w:r>
      <w:r w:rsidRPr="00EC20F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году</w:t>
      </w:r>
    </w:p>
    <w:p w:rsidR="004153CE" w:rsidRPr="00F2385E" w:rsidRDefault="004153CE" w:rsidP="006C5B32">
      <w:pPr>
        <w:widowControl w:val="0"/>
        <w:spacing w:after="60"/>
        <w:rPr>
          <w:rFonts w:ascii="Times New Roman" w:hAnsi="Times New Roman"/>
          <w:sz w:val="28"/>
          <w:szCs w:val="28"/>
          <w:highlight w:val="yellow"/>
        </w:rPr>
      </w:pPr>
      <w:r w:rsidRPr="00EC20F8">
        <w:rPr>
          <w:rFonts w:ascii="Times New Roman" w:hAnsi="Times New Roman"/>
          <w:sz w:val="28"/>
          <w:szCs w:val="28"/>
        </w:rPr>
        <w:t>Предприятиями, осуществляющими добычу полезных ископаемых, в 201</w:t>
      </w:r>
      <w:r>
        <w:rPr>
          <w:rFonts w:ascii="Times New Roman" w:hAnsi="Times New Roman"/>
          <w:sz w:val="28"/>
          <w:szCs w:val="28"/>
        </w:rPr>
        <w:t>5</w:t>
      </w:r>
      <w:r w:rsidRPr="00EC20F8">
        <w:rPr>
          <w:rFonts w:ascii="Times New Roman" w:hAnsi="Times New Roman"/>
          <w:sz w:val="28"/>
          <w:szCs w:val="28"/>
        </w:rPr>
        <w:t xml:space="preserve"> году отгружено продукции на </w:t>
      </w:r>
      <w:r>
        <w:rPr>
          <w:rFonts w:ascii="Times New Roman" w:hAnsi="Times New Roman"/>
          <w:sz w:val="28"/>
          <w:szCs w:val="28"/>
        </w:rPr>
        <w:t xml:space="preserve">158,6 </w:t>
      </w:r>
      <w:proofErr w:type="gramStart"/>
      <w:r w:rsidRPr="00EC20F8">
        <w:rPr>
          <w:rFonts w:ascii="Times New Roman" w:hAnsi="Times New Roman"/>
          <w:sz w:val="28"/>
          <w:szCs w:val="28"/>
        </w:rPr>
        <w:t>млн</w:t>
      </w:r>
      <w:proofErr w:type="gramEnd"/>
      <w:r w:rsidRPr="00EC20F8">
        <w:rPr>
          <w:rFonts w:ascii="Times New Roman" w:hAnsi="Times New Roman"/>
          <w:sz w:val="28"/>
          <w:szCs w:val="28"/>
        </w:rPr>
        <w:t xml:space="preserve"> рублей (</w:t>
      </w:r>
      <w:r>
        <w:rPr>
          <w:rFonts w:ascii="Times New Roman" w:hAnsi="Times New Roman"/>
          <w:sz w:val="28"/>
          <w:szCs w:val="28"/>
        </w:rPr>
        <w:t>100,6</w:t>
      </w:r>
      <w:r w:rsidRPr="00EC20F8">
        <w:rPr>
          <w:rFonts w:ascii="Times New Roman" w:hAnsi="Times New Roman"/>
          <w:sz w:val="28"/>
          <w:szCs w:val="28"/>
        </w:rPr>
        <w:t xml:space="preserve"> % к</w:t>
      </w:r>
      <w:r w:rsidRPr="00EC20F8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уровню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C20F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 действующих ценах). Индекс промышленного производства составил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95,6 %. </w:t>
      </w:r>
      <w:r w:rsidRPr="00DA0319">
        <w:rPr>
          <w:rFonts w:ascii="Times New Roman" w:hAnsi="Times New Roman"/>
          <w:sz w:val="28"/>
          <w:szCs w:val="28"/>
        </w:rPr>
        <w:t>Основной объем добычи полезных ископаемых составляют нерудные строительные материалы, добыча которых в 2015 году снизилась и составила 439,5 тысяч кубических метров против 462,4 тысяч кубических метров в 2014</w:t>
      </w:r>
      <w:r>
        <w:rPr>
          <w:rFonts w:ascii="Times New Roman" w:hAnsi="Times New Roman"/>
          <w:sz w:val="28"/>
          <w:szCs w:val="28"/>
        </w:rPr>
        <w:t xml:space="preserve"> году.</w:t>
      </w:r>
    </w:p>
    <w:p w:rsidR="004153CE" w:rsidRPr="00F2385E" w:rsidRDefault="004153CE" w:rsidP="006C5B32">
      <w:pPr>
        <w:widowControl w:val="0"/>
        <w:spacing w:after="0"/>
        <w:rPr>
          <w:rFonts w:ascii="Times New Roman" w:hAnsi="Times New Roman"/>
          <w:sz w:val="28"/>
          <w:szCs w:val="28"/>
          <w:highlight w:val="yellow"/>
        </w:rPr>
      </w:pPr>
      <w:r w:rsidRPr="00DA0319">
        <w:rPr>
          <w:rFonts w:ascii="Times New Roman" w:hAnsi="Times New Roman"/>
          <w:sz w:val="28"/>
          <w:szCs w:val="28"/>
        </w:rPr>
        <w:t xml:space="preserve">По состоянию на 01.01.2016 на учете в составе Статистического регистра территориального органа федеральной службы государственной статистики по Камчатскому краю (далее – </w:t>
      </w:r>
      <w:proofErr w:type="spellStart"/>
      <w:r w:rsidRPr="00DA0319">
        <w:rPr>
          <w:rFonts w:ascii="Times New Roman" w:hAnsi="Times New Roman"/>
          <w:sz w:val="28"/>
          <w:szCs w:val="28"/>
        </w:rPr>
        <w:t>Статрегистр</w:t>
      </w:r>
      <w:proofErr w:type="spellEnd"/>
      <w:r w:rsidRPr="00DA0319">
        <w:rPr>
          <w:rFonts w:ascii="Times New Roman" w:hAnsi="Times New Roman"/>
          <w:sz w:val="28"/>
          <w:szCs w:val="28"/>
        </w:rPr>
        <w:t xml:space="preserve">) зарегистрировано 46 крупных и средних предприятия по добыче полезных ископаемых, </w:t>
      </w:r>
      <w:proofErr w:type="gramStart"/>
      <w:r w:rsidRPr="00DA0319">
        <w:rPr>
          <w:rFonts w:ascii="Times New Roman" w:hAnsi="Times New Roman"/>
          <w:sz w:val="28"/>
          <w:szCs w:val="28"/>
        </w:rPr>
        <w:t>кроме</w:t>
      </w:r>
      <w:proofErr w:type="gramEnd"/>
      <w:r w:rsidRPr="00DA0319">
        <w:rPr>
          <w:rFonts w:ascii="Times New Roman" w:hAnsi="Times New Roman"/>
          <w:sz w:val="28"/>
          <w:szCs w:val="28"/>
        </w:rPr>
        <w:t xml:space="preserve"> топливно-энергетических. </w:t>
      </w:r>
      <w:r w:rsidRPr="000110AE">
        <w:rPr>
          <w:rFonts w:ascii="Times New Roman" w:hAnsi="Times New Roman"/>
          <w:sz w:val="28"/>
          <w:szCs w:val="28"/>
        </w:rPr>
        <w:t>Среднегодовая численность работников предприятий составила 55 человек (67,1 % к показателю 2014 года), среднемесячная номинальная начисленная заработная плата – 191 817,0 рублей (107,1 % к уровню 2014 года).</w:t>
      </w:r>
    </w:p>
    <w:p w:rsidR="004153CE" w:rsidRPr="00B26131" w:rsidRDefault="004153CE" w:rsidP="006C5B3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B26131">
        <w:rPr>
          <w:rFonts w:ascii="Times New Roman" w:hAnsi="Times New Roman"/>
          <w:sz w:val="28"/>
          <w:szCs w:val="28"/>
        </w:rPr>
        <w:t xml:space="preserve">Сальдированный финансовый результат крупных и средних организаций по добычи полезных ископаемых в 2015 году составил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B26131">
        <w:rPr>
          <w:rFonts w:ascii="Times New Roman" w:hAnsi="Times New Roman"/>
          <w:sz w:val="28"/>
          <w:szCs w:val="28"/>
        </w:rPr>
        <w:t xml:space="preserve">296,8 </w:t>
      </w:r>
      <w:proofErr w:type="gramStart"/>
      <w:r w:rsidRPr="00B26131">
        <w:rPr>
          <w:rFonts w:ascii="Times New Roman" w:hAnsi="Times New Roman"/>
          <w:sz w:val="28"/>
          <w:szCs w:val="28"/>
        </w:rPr>
        <w:t>млн</w:t>
      </w:r>
      <w:proofErr w:type="gramEnd"/>
      <w:r w:rsidRPr="00B26131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 прибыли (в 2014 году – 1 </w:t>
      </w:r>
      <w:r w:rsidRPr="00B26131">
        <w:rPr>
          <w:rFonts w:ascii="Times New Roman" w:hAnsi="Times New Roman"/>
          <w:sz w:val="28"/>
          <w:szCs w:val="28"/>
        </w:rPr>
        <w:t>043,6 млн рублей убытков, в 2013 году – 174,8 млн рублей убытков). Удельный вес убыточных организаций по добычи полезных ископаемых составил 40,0 %.</w:t>
      </w:r>
    </w:p>
    <w:p w:rsidR="004153CE" w:rsidRPr="009A29C0" w:rsidRDefault="004153CE" w:rsidP="006C5B3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A29C0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виду деятельности «Добыча полезных ископаемых», по оценке, в 2016 году сложится в 165,59 </w:t>
      </w:r>
      <w:proofErr w:type="gramStart"/>
      <w:r w:rsidRPr="009A29C0">
        <w:rPr>
          <w:rFonts w:ascii="Times New Roman" w:hAnsi="Times New Roman"/>
          <w:sz w:val="28"/>
          <w:szCs w:val="28"/>
        </w:rPr>
        <w:t>млн</w:t>
      </w:r>
      <w:proofErr w:type="gramEnd"/>
      <w:r w:rsidRPr="009A29C0">
        <w:rPr>
          <w:rFonts w:ascii="Times New Roman" w:hAnsi="Times New Roman"/>
          <w:sz w:val="28"/>
          <w:szCs w:val="28"/>
        </w:rPr>
        <w:t xml:space="preserve"> рублей. Индекс производства составит 100,10 %.</w:t>
      </w:r>
    </w:p>
    <w:p w:rsidR="004153CE" w:rsidRPr="009A29C0" w:rsidRDefault="004153CE" w:rsidP="006C5B32">
      <w:pPr>
        <w:widowControl w:val="0"/>
        <w:spacing w:after="0"/>
        <w:rPr>
          <w:rFonts w:ascii="Times New Roman" w:hAnsi="Times New Roman"/>
          <w:strike/>
          <w:sz w:val="28"/>
          <w:szCs w:val="28"/>
        </w:rPr>
      </w:pPr>
      <w:r w:rsidRPr="009A29C0">
        <w:rPr>
          <w:rFonts w:ascii="Times New Roman" w:hAnsi="Times New Roman"/>
          <w:sz w:val="28"/>
          <w:szCs w:val="28"/>
        </w:rPr>
        <w:t>Объем добычи нерудных строительных материалов полностью зависит от спроса потребителей. В среднесрочном периоде прогнозируется увеличение темпов добычи полезных ископаемых (в сопоставимой оценке).</w:t>
      </w:r>
    </w:p>
    <w:p w:rsidR="004153CE" w:rsidRPr="004346A8" w:rsidRDefault="004153CE" w:rsidP="006C5B32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20D00">
        <w:rPr>
          <w:rFonts w:ascii="Times New Roman" w:hAnsi="Times New Roman"/>
          <w:sz w:val="28"/>
          <w:szCs w:val="28"/>
        </w:rPr>
        <w:t>По варианту 1</w:t>
      </w:r>
      <w:r w:rsidRPr="009A29C0">
        <w:rPr>
          <w:rFonts w:ascii="Times New Roman" w:hAnsi="Times New Roman"/>
          <w:sz w:val="28"/>
          <w:szCs w:val="28"/>
        </w:rPr>
        <w:t xml:space="preserve"> </w:t>
      </w:r>
      <w:r w:rsidR="00C20D00">
        <w:rPr>
          <w:rFonts w:ascii="Times New Roman" w:hAnsi="Times New Roman"/>
          <w:sz w:val="28"/>
          <w:szCs w:val="28"/>
        </w:rPr>
        <w:t>П</w:t>
      </w:r>
      <w:r w:rsidRPr="009A29C0">
        <w:rPr>
          <w:rFonts w:ascii="Times New Roman" w:hAnsi="Times New Roman"/>
          <w:sz w:val="28"/>
          <w:szCs w:val="28"/>
        </w:rPr>
        <w:t xml:space="preserve">рогноза объем отгруженных товаров собственного производства, выполненных работ и услуг собственными силами прогнозируется в 2017 году в размере 172,88 </w:t>
      </w:r>
      <w:proofErr w:type="gramStart"/>
      <w:r w:rsidRPr="009A29C0">
        <w:rPr>
          <w:rFonts w:ascii="Times New Roman" w:hAnsi="Times New Roman"/>
          <w:sz w:val="28"/>
          <w:szCs w:val="28"/>
        </w:rPr>
        <w:t>млн</w:t>
      </w:r>
      <w:proofErr w:type="gramEnd"/>
      <w:r w:rsidRPr="009A29C0">
        <w:rPr>
          <w:rFonts w:ascii="Times New Roman" w:hAnsi="Times New Roman"/>
          <w:sz w:val="28"/>
          <w:szCs w:val="28"/>
        </w:rPr>
        <w:t xml:space="preserve"> рублей, в 2018 году – 183,18 млн рублей, в 2019 году – 193,95 млн рублей. Индекс производства в 2017 году составит 100,0 %, в 2018 году 101,3 %, в 2019 году – 102,0 % (рис</w:t>
      </w:r>
      <w:r w:rsidR="000E75F2">
        <w:rPr>
          <w:rFonts w:ascii="Times New Roman" w:hAnsi="Times New Roman"/>
          <w:sz w:val="28"/>
          <w:szCs w:val="28"/>
        </w:rPr>
        <w:t>унок</w:t>
      </w:r>
      <w:r w:rsidRPr="009A29C0">
        <w:rPr>
          <w:rFonts w:ascii="Times New Roman" w:hAnsi="Times New Roman"/>
          <w:sz w:val="28"/>
          <w:szCs w:val="28"/>
        </w:rPr>
        <w:t xml:space="preserve"> 3.2.)</w:t>
      </w:r>
      <w:r w:rsidR="00B86867">
        <w:rPr>
          <w:rFonts w:ascii="Times New Roman" w:hAnsi="Times New Roman"/>
          <w:sz w:val="28"/>
          <w:szCs w:val="28"/>
        </w:rPr>
        <w:t>:</w:t>
      </w:r>
    </w:p>
    <w:p w:rsidR="004153CE" w:rsidRPr="00900AA0" w:rsidRDefault="004153CE" w:rsidP="004153CE">
      <w:pPr>
        <w:widowControl w:val="0"/>
        <w:ind w:firstLine="0"/>
        <w:rPr>
          <w:rFonts w:ascii="Times New Roman" w:hAnsi="Times New Roman"/>
          <w:sz w:val="20"/>
          <w:szCs w:val="20"/>
        </w:rPr>
      </w:pPr>
      <w:r w:rsidRPr="004346A8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0BB3926" wp14:editId="598C4B22">
            <wp:extent cx="5943600" cy="2363638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153CE" w:rsidRPr="00900AA0" w:rsidRDefault="004153CE" w:rsidP="00B11F23">
      <w:pPr>
        <w:widowControl w:val="0"/>
        <w:jc w:val="center"/>
        <w:rPr>
          <w:rFonts w:ascii="Times New Roman" w:hAnsi="Times New Roman"/>
          <w:i/>
          <w:sz w:val="24"/>
          <w:szCs w:val="24"/>
        </w:rPr>
      </w:pPr>
      <w:r w:rsidRPr="004346A8">
        <w:rPr>
          <w:rFonts w:ascii="Times New Roman" w:hAnsi="Times New Roman"/>
          <w:i/>
          <w:sz w:val="24"/>
          <w:szCs w:val="24"/>
        </w:rPr>
        <w:t xml:space="preserve">Рис. 3.2. </w:t>
      </w:r>
      <w:r w:rsidR="000E75F2">
        <w:rPr>
          <w:rFonts w:ascii="Times New Roman" w:hAnsi="Times New Roman"/>
          <w:i/>
          <w:sz w:val="24"/>
          <w:szCs w:val="24"/>
        </w:rPr>
        <w:t>Прогноз о</w:t>
      </w:r>
      <w:r w:rsidRPr="004346A8">
        <w:rPr>
          <w:rFonts w:ascii="Times New Roman" w:hAnsi="Times New Roman"/>
          <w:i/>
          <w:sz w:val="24"/>
          <w:szCs w:val="24"/>
        </w:rPr>
        <w:t>бъем</w:t>
      </w:r>
      <w:r w:rsidR="000E75F2">
        <w:rPr>
          <w:rFonts w:ascii="Times New Roman" w:hAnsi="Times New Roman"/>
          <w:i/>
          <w:sz w:val="24"/>
          <w:szCs w:val="24"/>
        </w:rPr>
        <w:t>а</w:t>
      </w:r>
      <w:r w:rsidRPr="004346A8">
        <w:rPr>
          <w:rFonts w:ascii="Times New Roman" w:hAnsi="Times New Roman"/>
          <w:i/>
          <w:sz w:val="24"/>
          <w:szCs w:val="24"/>
        </w:rPr>
        <w:t xml:space="preserve"> добычи полезных ископаемых по полному кругу </w:t>
      </w:r>
      <w:r w:rsidR="000E75F2">
        <w:rPr>
          <w:rFonts w:ascii="Times New Roman" w:hAnsi="Times New Roman"/>
          <w:i/>
          <w:sz w:val="24"/>
          <w:szCs w:val="24"/>
        </w:rPr>
        <w:t>организаций</w:t>
      </w:r>
      <w:r w:rsidRPr="004346A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4346A8">
        <w:rPr>
          <w:rFonts w:ascii="Times New Roman" w:hAnsi="Times New Roman"/>
          <w:i/>
          <w:sz w:val="24"/>
          <w:szCs w:val="24"/>
        </w:rPr>
        <w:t>Петропавловск-Камчатского</w:t>
      </w:r>
      <w:proofErr w:type="gramEnd"/>
      <w:r w:rsidRPr="004346A8">
        <w:rPr>
          <w:rFonts w:ascii="Times New Roman" w:hAnsi="Times New Roman"/>
          <w:i/>
          <w:sz w:val="24"/>
          <w:szCs w:val="24"/>
        </w:rPr>
        <w:t xml:space="preserve"> городского округа</w:t>
      </w:r>
      <w:r w:rsidR="000E75F2">
        <w:rPr>
          <w:rFonts w:ascii="Times New Roman" w:hAnsi="Times New Roman"/>
          <w:i/>
          <w:sz w:val="24"/>
          <w:szCs w:val="24"/>
        </w:rPr>
        <w:t xml:space="preserve"> на </w:t>
      </w:r>
      <w:r w:rsidR="00B86867">
        <w:rPr>
          <w:rFonts w:ascii="Times New Roman" w:hAnsi="Times New Roman"/>
          <w:i/>
          <w:sz w:val="24"/>
          <w:szCs w:val="24"/>
        </w:rPr>
        <w:t xml:space="preserve">период </w:t>
      </w:r>
      <w:r w:rsidR="000E75F2">
        <w:rPr>
          <w:rFonts w:ascii="Times New Roman" w:hAnsi="Times New Roman"/>
          <w:i/>
          <w:sz w:val="24"/>
          <w:szCs w:val="24"/>
        </w:rPr>
        <w:t>2017-2019 год</w:t>
      </w:r>
      <w:r w:rsidR="00B86867">
        <w:rPr>
          <w:rFonts w:ascii="Times New Roman" w:hAnsi="Times New Roman"/>
          <w:i/>
          <w:sz w:val="24"/>
          <w:szCs w:val="24"/>
        </w:rPr>
        <w:t>ов</w:t>
      </w:r>
    </w:p>
    <w:p w:rsidR="004153CE" w:rsidRPr="009A29C0" w:rsidRDefault="004153CE" w:rsidP="00C20D00">
      <w:pPr>
        <w:widowControl w:val="0"/>
        <w:spacing w:before="60" w:after="0"/>
        <w:rPr>
          <w:rFonts w:ascii="Times New Roman" w:hAnsi="Times New Roman"/>
          <w:sz w:val="28"/>
          <w:szCs w:val="28"/>
        </w:rPr>
      </w:pPr>
      <w:r w:rsidRPr="00C20D00">
        <w:rPr>
          <w:rFonts w:ascii="Times New Roman" w:hAnsi="Times New Roman"/>
          <w:sz w:val="28"/>
          <w:szCs w:val="28"/>
        </w:rPr>
        <w:t>По варианту 2</w:t>
      </w:r>
      <w:r w:rsidRPr="009A29C0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20D00" w:rsidRPr="00C20D00">
        <w:rPr>
          <w:rFonts w:ascii="Times New Roman" w:hAnsi="Times New Roman"/>
          <w:sz w:val="28"/>
          <w:szCs w:val="28"/>
        </w:rPr>
        <w:t>П</w:t>
      </w:r>
      <w:r w:rsidRPr="009A29C0">
        <w:rPr>
          <w:rFonts w:ascii="Times New Roman" w:hAnsi="Times New Roman"/>
          <w:sz w:val="28"/>
          <w:szCs w:val="28"/>
        </w:rPr>
        <w:t xml:space="preserve">рогноза объем отгруженных товаров собственного производства, выполненных работ и услуг собственными силами предполагается в сумме: в 2017 году в размере 178,75 </w:t>
      </w:r>
      <w:proofErr w:type="gramStart"/>
      <w:r w:rsidRPr="009A29C0">
        <w:rPr>
          <w:rFonts w:ascii="Times New Roman" w:hAnsi="Times New Roman"/>
          <w:sz w:val="28"/>
          <w:szCs w:val="28"/>
        </w:rPr>
        <w:t>млн</w:t>
      </w:r>
      <w:proofErr w:type="gramEnd"/>
      <w:r w:rsidRPr="009A29C0">
        <w:rPr>
          <w:rFonts w:ascii="Times New Roman" w:hAnsi="Times New Roman"/>
          <w:sz w:val="28"/>
          <w:szCs w:val="28"/>
        </w:rPr>
        <w:t xml:space="preserve"> рублей, в 2018 году – 198,76 млн рублей, в 2019 году – 221,28 млн рублей. Индекс производства в 2017 году составит 103,4 %, в 2018 году – 106,1 %, в 2019 году – 108,3 %.</w:t>
      </w:r>
    </w:p>
    <w:p w:rsidR="004153CE" w:rsidRPr="00D7418D" w:rsidRDefault="004153CE" w:rsidP="008B43DA">
      <w:pPr>
        <w:widowControl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18D">
        <w:rPr>
          <w:rFonts w:ascii="Times New Roman" w:hAnsi="Times New Roman"/>
          <w:sz w:val="28"/>
          <w:szCs w:val="28"/>
        </w:rPr>
        <w:t xml:space="preserve">В 2015 году </w:t>
      </w:r>
      <w:r w:rsidRPr="00C20D00">
        <w:rPr>
          <w:rFonts w:ascii="Times New Roman" w:hAnsi="Times New Roman"/>
          <w:i/>
          <w:sz w:val="28"/>
          <w:szCs w:val="28"/>
        </w:rPr>
        <w:t>обрабатывающий сектор</w:t>
      </w:r>
      <w:r w:rsidRPr="00D7418D">
        <w:rPr>
          <w:rFonts w:ascii="Times New Roman" w:hAnsi="Times New Roman"/>
          <w:sz w:val="28"/>
          <w:szCs w:val="28"/>
        </w:rPr>
        <w:t xml:space="preserve"> составил 81,6 % </w:t>
      </w:r>
      <w:r w:rsidRPr="00EF36AA">
        <w:rPr>
          <w:rFonts w:ascii="Times New Roman" w:hAnsi="Times New Roman"/>
          <w:sz w:val="28"/>
          <w:szCs w:val="28"/>
        </w:rPr>
        <w:t>всего объема</w:t>
      </w:r>
      <w:r w:rsidRPr="00D7418D">
        <w:rPr>
          <w:rFonts w:ascii="Times New Roman" w:hAnsi="Times New Roman"/>
          <w:sz w:val="28"/>
          <w:szCs w:val="28"/>
        </w:rPr>
        <w:t xml:space="preserve"> отгруженных товаров, выполненных работ и услуг промышленных видов деятельности. Объем отгрузки продукции собственного производства составил </w:t>
      </w:r>
      <w:r w:rsidRPr="00D7418D">
        <w:rPr>
          <w:rFonts w:ascii="Times New Roman" w:eastAsia="Times New Roman" w:hAnsi="Times New Roman"/>
          <w:sz w:val="28"/>
          <w:szCs w:val="28"/>
          <w:lang w:eastAsia="ru-RU"/>
        </w:rPr>
        <w:t xml:space="preserve">40 167,1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D7418D">
        <w:rPr>
          <w:rFonts w:ascii="Times New Roman" w:hAnsi="Times New Roman"/>
          <w:sz w:val="28"/>
          <w:szCs w:val="28"/>
        </w:rPr>
        <w:t>лн</w:t>
      </w:r>
      <w:proofErr w:type="gramEnd"/>
      <w:r w:rsidRPr="00D7418D">
        <w:rPr>
          <w:rFonts w:ascii="Times New Roman" w:hAnsi="Times New Roman"/>
          <w:sz w:val="28"/>
          <w:szCs w:val="28"/>
        </w:rPr>
        <w:t xml:space="preserve"> рублей, что выше уровня 201</w:t>
      </w:r>
      <w:r>
        <w:rPr>
          <w:rFonts w:ascii="Times New Roman" w:hAnsi="Times New Roman"/>
          <w:sz w:val="28"/>
          <w:szCs w:val="28"/>
        </w:rPr>
        <w:t>4</w:t>
      </w:r>
      <w:r w:rsidRPr="00D7418D">
        <w:rPr>
          <w:rFonts w:ascii="Times New Roman" w:hAnsi="Times New Roman"/>
          <w:sz w:val="28"/>
          <w:szCs w:val="28"/>
        </w:rPr>
        <w:t xml:space="preserve"> года в действующих ценах на 66,2 %, индекс производства составил 104,6 %. </w:t>
      </w:r>
    </w:p>
    <w:p w:rsidR="004153CE" w:rsidRPr="00D7418D" w:rsidRDefault="004153CE" w:rsidP="008B43DA">
      <w:pPr>
        <w:spacing w:after="0"/>
        <w:rPr>
          <w:rFonts w:ascii="Times New Roman" w:hAnsi="Times New Roman"/>
          <w:sz w:val="28"/>
          <w:szCs w:val="28"/>
        </w:rPr>
      </w:pPr>
      <w:r w:rsidRPr="00D7418D">
        <w:rPr>
          <w:rFonts w:ascii="Times New Roman" w:hAnsi="Times New Roman"/>
          <w:sz w:val="28"/>
          <w:szCs w:val="28"/>
        </w:rPr>
        <w:t xml:space="preserve">Среди отраслей обрабатывающих производств наибольший вес имеют предприятия пищевой (преимущественно </w:t>
      </w:r>
      <w:proofErr w:type="spellStart"/>
      <w:r w:rsidRPr="00D7418D">
        <w:rPr>
          <w:rFonts w:ascii="Times New Roman" w:hAnsi="Times New Roman"/>
          <w:sz w:val="28"/>
          <w:szCs w:val="28"/>
        </w:rPr>
        <w:t>рыбоперерабатывающей</w:t>
      </w:r>
      <w:proofErr w:type="spellEnd"/>
      <w:r w:rsidRPr="00D7418D">
        <w:rPr>
          <w:rFonts w:ascii="Times New Roman" w:hAnsi="Times New Roman"/>
          <w:sz w:val="28"/>
          <w:szCs w:val="28"/>
        </w:rPr>
        <w:t>) промышленности и судоремонта, развитие которых будет определять динамику развития отрасли в целом. Крупные предприятия отрасли: производственный кооператив «Рыболовецкий колхоз им. В.И. Ленина», открытое акционерное общество «Океанрыбфлот», ОАО «Молокозавод Петропавловский», открытое акционерное общество «Камчатское пиво»; открытое акционерное общество «Петропавловская судоверфь», закрытое акционерное общество «Петропавловск-Камчатский судоремонтный завод».</w:t>
      </w:r>
    </w:p>
    <w:p w:rsidR="004153CE" w:rsidRPr="00D7418D" w:rsidRDefault="004153CE" w:rsidP="008B43DA">
      <w:pPr>
        <w:spacing w:after="0"/>
        <w:rPr>
          <w:rFonts w:ascii="Times New Roman" w:hAnsi="Times New Roman"/>
          <w:sz w:val="28"/>
          <w:szCs w:val="28"/>
        </w:rPr>
      </w:pPr>
      <w:r w:rsidRPr="00D7418D">
        <w:rPr>
          <w:rFonts w:ascii="Times New Roman" w:hAnsi="Times New Roman"/>
          <w:sz w:val="28"/>
          <w:szCs w:val="28"/>
        </w:rPr>
        <w:t xml:space="preserve">Рыбодобывающими и </w:t>
      </w:r>
      <w:proofErr w:type="spellStart"/>
      <w:r w:rsidRPr="00D7418D">
        <w:rPr>
          <w:rFonts w:ascii="Times New Roman" w:hAnsi="Times New Roman"/>
          <w:sz w:val="28"/>
          <w:szCs w:val="28"/>
        </w:rPr>
        <w:t>рыбоперерабатывающими</w:t>
      </w:r>
      <w:proofErr w:type="spellEnd"/>
      <w:r w:rsidRPr="00D7418D">
        <w:rPr>
          <w:rFonts w:ascii="Times New Roman" w:hAnsi="Times New Roman"/>
          <w:sz w:val="28"/>
          <w:szCs w:val="28"/>
        </w:rPr>
        <w:t xml:space="preserve"> предприятиями городского округа в 2015 году произведено 451,5 тысяч тонн рыбы и продуктов рыбных переработанных и консервированных, что составило   107,5 % к уровню 2014 года. </w:t>
      </w:r>
    </w:p>
    <w:p w:rsidR="004153CE" w:rsidRPr="00860AD5" w:rsidRDefault="004153CE" w:rsidP="008B43DA">
      <w:pPr>
        <w:widowControl w:val="0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AD5">
        <w:rPr>
          <w:rFonts w:ascii="Times New Roman" w:hAnsi="Times New Roman"/>
          <w:sz w:val="28"/>
          <w:szCs w:val="28"/>
        </w:rPr>
        <w:t xml:space="preserve">Увеличено производство следующих ассортиментных групп: мясо рыбы (включая фарш) мороженное прочее (в 1,7 раз), филе рыбное мороженное (в 2,5 раза), рыбы холодного копчения (кроме сельди) – 120,9% и т.д. </w:t>
      </w:r>
      <w:r w:rsidRPr="00860AD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Производство консервов </w:t>
      </w:r>
      <w:proofErr w:type="gramStart"/>
      <w:r w:rsidRPr="00860AD5">
        <w:rPr>
          <w:rFonts w:ascii="Times New Roman" w:eastAsia="Times New Roman" w:hAnsi="Times New Roman"/>
          <w:sz w:val="28"/>
          <w:szCs w:val="28"/>
          <w:lang w:eastAsia="ru-RU"/>
        </w:rPr>
        <w:t>рыбных натуральных</w:t>
      </w:r>
      <w:proofErr w:type="gramEnd"/>
      <w:r w:rsidRPr="00860AD5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увеличилось на 25,4 % и составило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0AD5">
        <w:rPr>
          <w:rFonts w:ascii="Times New Roman" w:eastAsia="Times New Roman" w:hAnsi="Times New Roman"/>
          <w:sz w:val="28"/>
          <w:szCs w:val="28"/>
          <w:lang w:eastAsia="ru-RU"/>
        </w:rPr>
        <w:t>556,0 тысяч условных банок.</w:t>
      </w:r>
    </w:p>
    <w:p w:rsidR="004153CE" w:rsidRPr="003F6271" w:rsidRDefault="004153CE" w:rsidP="008B43DA">
      <w:pPr>
        <w:spacing w:after="0"/>
        <w:rPr>
          <w:rFonts w:ascii="Times New Roman" w:hAnsi="Times New Roman"/>
          <w:sz w:val="28"/>
          <w:szCs w:val="28"/>
        </w:rPr>
      </w:pPr>
      <w:r w:rsidRPr="003F6271">
        <w:rPr>
          <w:rFonts w:ascii="Times New Roman" w:hAnsi="Times New Roman"/>
          <w:sz w:val="28"/>
          <w:szCs w:val="28"/>
        </w:rPr>
        <w:t xml:space="preserve">Предприятиями </w:t>
      </w:r>
      <w:proofErr w:type="spellStart"/>
      <w:r w:rsidRPr="003F6271">
        <w:rPr>
          <w:rFonts w:ascii="Times New Roman" w:hAnsi="Times New Roman"/>
          <w:sz w:val="28"/>
          <w:szCs w:val="28"/>
        </w:rPr>
        <w:t>рыбоперерабатывающей</w:t>
      </w:r>
      <w:proofErr w:type="spellEnd"/>
      <w:r w:rsidRPr="003F6271">
        <w:rPr>
          <w:rFonts w:ascii="Times New Roman" w:hAnsi="Times New Roman"/>
          <w:sz w:val="28"/>
          <w:szCs w:val="28"/>
        </w:rPr>
        <w:t xml:space="preserve"> отрасли городского округа произведено 62,9 % общего объема продукции </w:t>
      </w:r>
      <w:proofErr w:type="spellStart"/>
      <w:r w:rsidRPr="003F6271">
        <w:rPr>
          <w:rFonts w:ascii="Times New Roman" w:hAnsi="Times New Roman"/>
          <w:sz w:val="28"/>
          <w:szCs w:val="28"/>
        </w:rPr>
        <w:t>рыбоперерабатывающей</w:t>
      </w:r>
      <w:proofErr w:type="spellEnd"/>
      <w:r w:rsidRPr="003F6271">
        <w:rPr>
          <w:rFonts w:ascii="Times New Roman" w:hAnsi="Times New Roman"/>
          <w:sz w:val="28"/>
          <w:szCs w:val="28"/>
        </w:rPr>
        <w:t xml:space="preserve"> отрасли в целом по Камчатскому краю.</w:t>
      </w:r>
    </w:p>
    <w:p w:rsidR="004153CE" w:rsidRPr="007D6881" w:rsidRDefault="004153CE" w:rsidP="006C02D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88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Предприятиями по производству пищевой продукции увеличен выпуск воды газированной, содержащей добавки сахара – на 19,5 %, воды минеральной и газированной неподслащенной и </w:t>
      </w:r>
      <w:proofErr w:type="spellStart"/>
      <w:r w:rsidRPr="007D6881">
        <w:rPr>
          <w:rFonts w:ascii="Times New Roman" w:eastAsia="Times New Roman" w:hAnsi="Times New Roman"/>
          <w:sz w:val="28"/>
          <w:szCs w:val="28"/>
          <w:lang w:eastAsia="ru-RU"/>
        </w:rPr>
        <w:t>неароматизированной</w:t>
      </w:r>
      <w:proofErr w:type="spellEnd"/>
      <w:r w:rsidRPr="007D6881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на 2,9 %, майонезов, </w:t>
      </w:r>
      <w:r w:rsidRPr="007D688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кремов майонезных и продукции майонезной прочей (в 1,8 раз), комбикормов – на 14,2 %.</w:t>
      </w:r>
    </w:p>
    <w:p w:rsidR="004153CE" w:rsidRPr="00D5792B" w:rsidRDefault="004153CE" w:rsidP="006C02D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92B">
        <w:rPr>
          <w:rFonts w:ascii="Times New Roman" w:eastAsia="Times New Roman" w:hAnsi="Times New Roman"/>
          <w:sz w:val="28"/>
          <w:szCs w:val="28"/>
          <w:lang w:eastAsia="ru-RU"/>
        </w:rPr>
        <w:t xml:space="preserve">Отмечено снижение объемов производства пива – на 8,6 %, мороженного – на 6,9 %, </w:t>
      </w:r>
      <w:r w:rsidRPr="00D5792B">
        <w:rPr>
          <w:rFonts w:ascii="Times New Roman" w:hAnsi="Times New Roman"/>
          <w:sz w:val="28"/>
          <w:szCs w:val="28"/>
        </w:rPr>
        <w:t xml:space="preserve">продуктов кисломолочных, кроме сметаны и творога </w:t>
      </w:r>
      <w:r w:rsidRPr="00D5792B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D5792B">
        <w:rPr>
          <w:rFonts w:ascii="Times New Roman" w:hAnsi="Times New Roman"/>
          <w:sz w:val="28"/>
          <w:szCs w:val="28"/>
        </w:rPr>
        <w:t xml:space="preserve"> на 2,9 %.</w:t>
      </w:r>
    </w:p>
    <w:p w:rsidR="004153CE" w:rsidRPr="003B496C" w:rsidRDefault="004153CE" w:rsidP="008B43D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3B496C">
        <w:rPr>
          <w:rFonts w:ascii="Times New Roman" w:eastAsia="Times New Roman" w:hAnsi="Times New Roman"/>
          <w:sz w:val="28"/>
          <w:szCs w:val="28"/>
          <w:lang w:eastAsia="ru-RU"/>
        </w:rPr>
        <w:t xml:space="preserve">За 2015 год произведено: 262,0 тонны полуфабрикатов мясных подмороженных и замороженных, 211,2 тонн изделий мясных кулинарных,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1 </w:t>
      </w:r>
      <w:r w:rsidRPr="003B496C">
        <w:rPr>
          <w:rFonts w:ascii="Times New Roman" w:eastAsia="Times New Roman" w:hAnsi="Times New Roman"/>
          <w:sz w:val="28"/>
          <w:szCs w:val="28"/>
          <w:lang w:eastAsia="ru-RU"/>
        </w:rPr>
        <w:t xml:space="preserve">007,17 тонн сыров и творога,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13 </w:t>
      </w:r>
      <w:r w:rsidRPr="003B496C">
        <w:rPr>
          <w:rFonts w:ascii="Times New Roman" w:eastAsia="Times New Roman" w:hAnsi="Times New Roman"/>
          <w:sz w:val="28"/>
          <w:szCs w:val="28"/>
          <w:lang w:eastAsia="ru-RU"/>
        </w:rPr>
        <w:t xml:space="preserve">060,4 тонн хлеба и хлебобулочных изделий, </w:t>
      </w:r>
      <w:r w:rsidRPr="003B496C">
        <w:rPr>
          <w:rFonts w:ascii="Times New Roman" w:hAnsi="Times New Roman"/>
          <w:sz w:val="28"/>
          <w:szCs w:val="28"/>
        </w:rPr>
        <w:t xml:space="preserve">1 524,3 тонн кондитерских изделий. </w:t>
      </w:r>
    </w:p>
    <w:p w:rsidR="004153CE" w:rsidRPr="003B496C" w:rsidRDefault="004153CE" w:rsidP="008B43D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496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Производство продукции пищевой промышленности, за исключением рыбной продукции, ориентировано на потребности внутреннего рынка </w:t>
      </w:r>
      <w:r w:rsidRPr="003B496C">
        <w:rPr>
          <w:rFonts w:ascii="Times New Roman" w:hAnsi="Times New Roman"/>
          <w:sz w:val="28"/>
          <w:szCs w:val="28"/>
        </w:rPr>
        <w:t>и относительно успешно конкурирует с привозными продуктами питания</w:t>
      </w:r>
      <w:r w:rsidRPr="003B496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153CE" w:rsidRPr="00C015DF" w:rsidRDefault="004153CE" w:rsidP="008B43D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15DF">
        <w:rPr>
          <w:rFonts w:ascii="Times New Roman" w:hAnsi="Times New Roman"/>
          <w:sz w:val="28"/>
          <w:szCs w:val="28"/>
        </w:rPr>
        <w:t>Всего за 2015 год предприятиями пищевой промышленности отгружено</w:t>
      </w:r>
      <w:r w:rsidRPr="00C015D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продукции</w:t>
      </w:r>
      <w:r w:rsidRPr="00C015DF">
        <w:rPr>
          <w:rFonts w:ascii="Times New Roman" w:hAnsi="Times New Roman"/>
          <w:sz w:val="28"/>
          <w:szCs w:val="28"/>
        </w:rPr>
        <w:t xml:space="preserve"> на сумму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37 </w:t>
      </w:r>
      <w:r w:rsidRPr="00C015DF">
        <w:rPr>
          <w:rFonts w:ascii="Times New Roman" w:eastAsia="Times New Roman" w:hAnsi="Times New Roman"/>
          <w:sz w:val="28"/>
          <w:szCs w:val="28"/>
          <w:lang w:eastAsia="ru-RU"/>
        </w:rPr>
        <w:t xml:space="preserve">181,1 </w:t>
      </w:r>
      <w:proofErr w:type="gramStart"/>
      <w:r w:rsidRPr="00C015DF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End"/>
      <w:r w:rsidRPr="00C015D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(175,2 % к объему 2014 года в действующих ценах) или </w:t>
      </w:r>
      <w:r w:rsidRPr="00C015DF">
        <w:rPr>
          <w:rFonts w:ascii="Times New Roman" w:hAnsi="Times New Roman"/>
          <w:sz w:val="28"/>
          <w:szCs w:val="28"/>
        </w:rPr>
        <w:t>92,6 % общего объема отгруженной продукции обрабатывающих производств городского округа.</w:t>
      </w:r>
    </w:p>
    <w:p w:rsidR="004153CE" w:rsidRPr="00587C5B" w:rsidRDefault="004153CE" w:rsidP="008B43DA">
      <w:pPr>
        <w:spacing w:after="0"/>
        <w:rPr>
          <w:rFonts w:ascii="Times New Roman" w:hAnsi="Times New Roman"/>
          <w:sz w:val="28"/>
          <w:szCs w:val="28"/>
        </w:rPr>
      </w:pPr>
      <w:r w:rsidRPr="00587C5B">
        <w:rPr>
          <w:rFonts w:ascii="Times New Roman" w:hAnsi="Times New Roman"/>
          <w:sz w:val="28"/>
          <w:szCs w:val="28"/>
        </w:rPr>
        <w:t xml:space="preserve">Второй по значимости отраслью обрабатывающих производств является производство транспортных средств и оборудования, включающее судоремонт. Отраслью в 2015 году произведено продукции на сумму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587C5B">
        <w:rPr>
          <w:rFonts w:ascii="Times New Roman" w:hAnsi="Times New Roman"/>
          <w:sz w:val="28"/>
          <w:szCs w:val="28"/>
        </w:rPr>
        <w:t xml:space="preserve">057,4 </w:t>
      </w:r>
      <w:proofErr w:type="gramStart"/>
      <w:r w:rsidRPr="00587C5B">
        <w:rPr>
          <w:rFonts w:ascii="Times New Roman" w:hAnsi="Times New Roman"/>
          <w:sz w:val="28"/>
          <w:szCs w:val="28"/>
        </w:rPr>
        <w:t>млн</w:t>
      </w:r>
      <w:proofErr w:type="gramEnd"/>
      <w:r w:rsidRPr="00587C5B">
        <w:rPr>
          <w:rFonts w:ascii="Times New Roman" w:hAnsi="Times New Roman"/>
          <w:sz w:val="28"/>
          <w:szCs w:val="28"/>
        </w:rPr>
        <w:t xml:space="preserve"> рублей</w:t>
      </w:r>
      <w:r w:rsidRPr="00587C5B">
        <w:rPr>
          <w:rFonts w:ascii="Times New Roman" w:eastAsia="Times New Roman" w:hAnsi="Times New Roman"/>
          <w:sz w:val="28"/>
          <w:szCs w:val="28"/>
          <w:lang w:eastAsia="ru-RU"/>
        </w:rPr>
        <w:t xml:space="preserve">, индекс производства составил 67,2 %. </w:t>
      </w:r>
      <w:r w:rsidRPr="00587C5B">
        <w:rPr>
          <w:rFonts w:ascii="Times New Roman" w:hAnsi="Times New Roman"/>
          <w:sz w:val="28"/>
          <w:szCs w:val="28"/>
        </w:rPr>
        <w:t xml:space="preserve">Удельный вес судоремонта в объеме обрабатывающих производств снизился и составил   2,8 % (4,9 % - 2014 год). </w:t>
      </w:r>
    </w:p>
    <w:p w:rsidR="004153CE" w:rsidRPr="00302321" w:rsidRDefault="004153CE" w:rsidP="008B43D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302321">
        <w:rPr>
          <w:rFonts w:ascii="Times New Roman" w:hAnsi="Times New Roman"/>
          <w:sz w:val="28"/>
          <w:szCs w:val="28"/>
        </w:rPr>
        <w:t>По состоянию на 01.01.201</w:t>
      </w:r>
      <w:r>
        <w:rPr>
          <w:rFonts w:ascii="Times New Roman" w:hAnsi="Times New Roman"/>
          <w:sz w:val="28"/>
          <w:szCs w:val="28"/>
        </w:rPr>
        <w:t>6</w:t>
      </w:r>
      <w:r w:rsidRPr="00302321">
        <w:rPr>
          <w:rFonts w:ascii="Times New Roman" w:hAnsi="Times New Roman"/>
          <w:sz w:val="28"/>
          <w:szCs w:val="28"/>
        </w:rPr>
        <w:t xml:space="preserve"> на учете в составе </w:t>
      </w:r>
      <w:proofErr w:type="spellStart"/>
      <w:r w:rsidRPr="00302321">
        <w:rPr>
          <w:rFonts w:ascii="Times New Roman" w:hAnsi="Times New Roman"/>
          <w:sz w:val="28"/>
          <w:szCs w:val="28"/>
        </w:rPr>
        <w:t>Статрегистра</w:t>
      </w:r>
      <w:proofErr w:type="spellEnd"/>
      <w:r w:rsidRPr="00302321">
        <w:rPr>
          <w:rFonts w:ascii="Times New Roman" w:hAnsi="Times New Roman"/>
          <w:sz w:val="28"/>
          <w:szCs w:val="28"/>
        </w:rPr>
        <w:t xml:space="preserve"> находится 541 крупное и среднее предприятие обрабатывающих производств. Среднегодовая численность работников составила 6 856 человека (96,1 % от численности работающих 2014 года). Среднемесячная номинальная начисленная заработная плата составила 88 019,0 рублей (134,7 % к уровню 2014 года).</w:t>
      </w:r>
    </w:p>
    <w:p w:rsidR="004153CE" w:rsidRPr="000B00EE" w:rsidRDefault="004153CE" w:rsidP="008B43D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0B00EE">
        <w:rPr>
          <w:rFonts w:ascii="Times New Roman" w:hAnsi="Times New Roman"/>
          <w:sz w:val="28"/>
          <w:szCs w:val="28"/>
        </w:rPr>
        <w:t xml:space="preserve">Сальдированный финансовый результат крупных и средних организаций обрабатывающих производств составил 1 685,0 </w:t>
      </w:r>
      <w:proofErr w:type="gramStart"/>
      <w:r w:rsidRPr="000B00EE">
        <w:rPr>
          <w:rFonts w:ascii="Times New Roman" w:hAnsi="Times New Roman"/>
          <w:sz w:val="28"/>
          <w:szCs w:val="28"/>
        </w:rPr>
        <w:t>млн</w:t>
      </w:r>
      <w:proofErr w:type="gramEnd"/>
      <w:r w:rsidRPr="000B00EE">
        <w:rPr>
          <w:rFonts w:ascii="Times New Roman" w:hAnsi="Times New Roman"/>
          <w:sz w:val="28"/>
          <w:szCs w:val="28"/>
        </w:rPr>
        <w:t xml:space="preserve"> рублей прибыли (в 2014 году – 386,7 млн рублей). </w:t>
      </w:r>
    </w:p>
    <w:p w:rsidR="004153CE" w:rsidRDefault="004153CE" w:rsidP="00025E70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0B00EE">
        <w:rPr>
          <w:rFonts w:ascii="Times New Roman" w:hAnsi="Times New Roman"/>
          <w:sz w:val="28"/>
          <w:szCs w:val="28"/>
        </w:rPr>
        <w:t>Удельный вес убыточных организаций обрабатывающих производств составил 22,2 %.</w:t>
      </w:r>
    </w:p>
    <w:p w:rsidR="004153CE" w:rsidRPr="00AB2FF1" w:rsidRDefault="004153CE" w:rsidP="00025E70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AB2FF1">
        <w:rPr>
          <w:rFonts w:ascii="Times New Roman" w:hAnsi="Times New Roman"/>
          <w:sz w:val="28"/>
          <w:szCs w:val="28"/>
        </w:rPr>
        <w:t xml:space="preserve">В целом в обрабатывающем секторе объем отгруженных товаров собственного производства в 2017 году оценивается в размере 41 371,81 </w:t>
      </w:r>
      <w:proofErr w:type="gramStart"/>
      <w:r w:rsidRPr="00AB2FF1">
        <w:rPr>
          <w:rFonts w:ascii="Times New Roman" w:hAnsi="Times New Roman"/>
          <w:sz w:val="28"/>
          <w:szCs w:val="28"/>
        </w:rPr>
        <w:t>млн</w:t>
      </w:r>
      <w:proofErr w:type="gramEnd"/>
      <w:r w:rsidRPr="00AB2FF1">
        <w:rPr>
          <w:rFonts w:ascii="Times New Roman" w:hAnsi="Times New Roman"/>
          <w:sz w:val="28"/>
          <w:szCs w:val="28"/>
        </w:rPr>
        <w:t xml:space="preserve"> рублей. </w:t>
      </w:r>
      <w:r w:rsidRPr="00B86867">
        <w:rPr>
          <w:rFonts w:ascii="Times New Roman" w:hAnsi="Times New Roman"/>
          <w:sz w:val="28"/>
          <w:szCs w:val="28"/>
        </w:rPr>
        <w:t>Индекс</w:t>
      </w:r>
      <w:r w:rsidRPr="00AB2FF1">
        <w:rPr>
          <w:rFonts w:ascii="Times New Roman" w:hAnsi="Times New Roman"/>
          <w:sz w:val="28"/>
          <w:szCs w:val="28"/>
        </w:rPr>
        <w:t xml:space="preserve"> производства оценивается на уровне 103,1 %. </w:t>
      </w:r>
    </w:p>
    <w:p w:rsidR="004153CE" w:rsidRPr="00304F9F" w:rsidRDefault="004153CE" w:rsidP="00025E70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AB2FF1">
        <w:rPr>
          <w:rFonts w:ascii="Times New Roman" w:hAnsi="Times New Roman"/>
          <w:sz w:val="28"/>
          <w:szCs w:val="28"/>
        </w:rPr>
        <w:t xml:space="preserve">На предприятиях по производству пищевых продуктов индекс производства продукции по оценке составит 102,0 %. Предполагается, что объем отгруженной продукции сложится в объеме 38 303,97 </w:t>
      </w:r>
      <w:proofErr w:type="gramStart"/>
      <w:r w:rsidRPr="00AB2FF1">
        <w:rPr>
          <w:rFonts w:ascii="Times New Roman" w:hAnsi="Times New Roman"/>
          <w:sz w:val="28"/>
          <w:szCs w:val="28"/>
        </w:rPr>
        <w:t>млн</w:t>
      </w:r>
      <w:proofErr w:type="gramEnd"/>
      <w:r w:rsidRPr="00AB2FF1">
        <w:rPr>
          <w:rFonts w:ascii="Times New Roman" w:hAnsi="Times New Roman"/>
          <w:sz w:val="28"/>
          <w:szCs w:val="28"/>
        </w:rPr>
        <w:t xml:space="preserve"> рублей. </w:t>
      </w:r>
      <w:r w:rsidRPr="00304F9F">
        <w:rPr>
          <w:rFonts w:ascii="Times New Roman" w:hAnsi="Times New Roman"/>
          <w:sz w:val="28"/>
          <w:szCs w:val="28"/>
        </w:rPr>
        <w:t xml:space="preserve">Судоремонтными предприятиями в 2015 году будет выполнено работ и оказано услуг на 1 113,90 </w:t>
      </w:r>
      <w:proofErr w:type="gramStart"/>
      <w:r w:rsidRPr="00304F9F">
        <w:rPr>
          <w:rFonts w:ascii="Times New Roman" w:hAnsi="Times New Roman"/>
          <w:sz w:val="28"/>
          <w:szCs w:val="28"/>
        </w:rPr>
        <w:t>млн</w:t>
      </w:r>
      <w:proofErr w:type="gramEnd"/>
      <w:r w:rsidRPr="00304F9F">
        <w:rPr>
          <w:rFonts w:ascii="Times New Roman" w:hAnsi="Times New Roman"/>
          <w:sz w:val="28"/>
          <w:szCs w:val="28"/>
        </w:rPr>
        <w:t xml:space="preserve"> рублей. Индекс производства составит 85,0 %. </w:t>
      </w:r>
    </w:p>
    <w:p w:rsidR="004153CE" w:rsidRPr="006C5B32" w:rsidRDefault="004153CE" w:rsidP="004153CE">
      <w:pPr>
        <w:widowControl w:val="0"/>
        <w:rPr>
          <w:rFonts w:ascii="Times New Roman" w:hAnsi="Times New Roman"/>
          <w:sz w:val="28"/>
          <w:szCs w:val="28"/>
        </w:rPr>
      </w:pPr>
      <w:r w:rsidRPr="00C20D00">
        <w:rPr>
          <w:rFonts w:ascii="Times New Roman" w:hAnsi="Times New Roman"/>
          <w:sz w:val="28"/>
          <w:szCs w:val="28"/>
        </w:rPr>
        <w:t>Прогнозируется, что в обрабатывающих производствах по варианту 1 прогноза</w:t>
      </w:r>
      <w:r w:rsidRPr="00304F9F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04F9F">
        <w:rPr>
          <w:rFonts w:ascii="Times New Roman" w:hAnsi="Times New Roman"/>
          <w:sz w:val="28"/>
          <w:szCs w:val="28"/>
        </w:rPr>
        <w:t xml:space="preserve">(рис. 3.3.) объем отгруженных товаров собственного производства сложится в 2017 году в размере 44 263,03 </w:t>
      </w:r>
      <w:proofErr w:type="gramStart"/>
      <w:r w:rsidRPr="00304F9F">
        <w:rPr>
          <w:rFonts w:ascii="Times New Roman" w:hAnsi="Times New Roman"/>
          <w:sz w:val="28"/>
          <w:szCs w:val="28"/>
        </w:rPr>
        <w:t>млн</w:t>
      </w:r>
      <w:proofErr w:type="gramEnd"/>
      <w:r w:rsidRPr="00304F9F">
        <w:rPr>
          <w:rFonts w:ascii="Times New Roman" w:hAnsi="Times New Roman"/>
          <w:sz w:val="28"/>
          <w:szCs w:val="28"/>
        </w:rPr>
        <w:t xml:space="preserve"> рублей, в 2018 году – 47 394,45 млн рублей, в 2019 году – 50 882,82 млн рублей. Индекс производства прогнозируется в 2017 году на уровне 101,82 %, в 2018 году – на уровне 102,07 %, в 2019 году – на уровне 102</w:t>
      </w:r>
      <w:r w:rsidRPr="006C5B32">
        <w:rPr>
          <w:rFonts w:ascii="Times New Roman" w:hAnsi="Times New Roman"/>
          <w:sz w:val="28"/>
          <w:szCs w:val="28"/>
        </w:rPr>
        <w:t>,9 %</w:t>
      </w:r>
      <w:r w:rsidR="000E75F2">
        <w:rPr>
          <w:rFonts w:ascii="Times New Roman" w:hAnsi="Times New Roman"/>
          <w:sz w:val="28"/>
          <w:szCs w:val="28"/>
        </w:rPr>
        <w:t xml:space="preserve"> (р</w:t>
      </w:r>
      <w:r w:rsidR="006C5B32" w:rsidRPr="006C5B32">
        <w:rPr>
          <w:rFonts w:ascii="Times New Roman" w:hAnsi="Times New Roman"/>
          <w:sz w:val="28"/>
          <w:szCs w:val="28"/>
        </w:rPr>
        <w:t>ис</w:t>
      </w:r>
      <w:r w:rsidR="00B86867">
        <w:rPr>
          <w:rFonts w:ascii="Times New Roman" w:hAnsi="Times New Roman"/>
          <w:sz w:val="28"/>
          <w:szCs w:val="28"/>
        </w:rPr>
        <w:t>унок</w:t>
      </w:r>
      <w:r w:rsidR="006C5B32" w:rsidRPr="006C5B32">
        <w:rPr>
          <w:rFonts w:ascii="Times New Roman" w:hAnsi="Times New Roman"/>
          <w:sz w:val="28"/>
          <w:szCs w:val="28"/>
        </w:rPr>
        <w:t xml:space="preserve"> 3.3.):</w:t>
      </w:r>
      <w:r w:rsidRPr="006C5B32">
        <w:rPr>
          <w:rFonts w:ascii="Times New Roman" w:hAnsi="Times New Roman"/>
          <w:sz w:val="28"/>
          <w:szCs w:val="28"/>
        </w:rPr>
        <w:t xml:space="preserve"> </w:t>
      </w:r>
    </w:p>
    <w:p w:rsidR="004153CE" w:rsidRPr="00F2385E" w:rsidRDefault="004153CE" w:rsidP="00025E70">
      <w:pPr>
        <w:widowControl w:val="0"/>
        <w:ind w:firstLine="0"/>
        <w:jc w:val="center"/>
        <w:rPr>
          <w:rFonts w:ascii="Times New Roman" w:hAnsi="Times New Roman"/>
          <w:i/>
          <w:sz w:val="24"/>
          <w:szCs w:val="24"/>
          <w:highlight w:val="yellow"/>
        </w:rPr>
      </w:pPr>
      <w:r w:rsidRPr="00F2385E">
        <w:rPr>
          <w:rFonts w:ascii="Times New Roman" w:hAnsi="Times New Roman"/>
          <w:b/>
          <w:i/>
          <w:noProof/>
          <w:sz w:val="24"/>
          <w:szCs w:val="24"/>
          <w:highlight w:val="yellow"/>
          <w:bdr w:val="single" w:sz="4" w:space="0" w:color="auto"/>
          <w:lang w:eastAsia="ru-RU"/>
        </w:rPr>
        <w:lastRenderedPageBreak/>
        <w:drawing>
          <wp:inline distT="0" distB="0" distL="0" distR="0" wp14:anchorId="762B3994" wp14:editId="734CE7FC">
            <wp:extent cx="5503653" cy="2147978"/>
            <wp:effectExtent l="0" t="0" r="1905" b="5080"/>
            <wp:docPr id="3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153CE" w:rsidRPr="006C5B32" w:rsidRDefault="004153CE" w:rsidP="004153CE">
      <w:pPr>
        <w:widowControl w:val="0"/>
        <w:jc w:val="center"/>
        <w:rPr>
          <w:rFonts w:ascii="Times New Roman" w:hAnsi="Times New Roman"/>
          <w:i/>
          <w:sz w:val="23"/>
          <w:szCs w:val="23"/>
        </w:rPr>
      </w:pPr>
      <w:r w:rsidRPr="006C5B32">
        <w:rPr>
          <w:rFonts w:ascii="Times New Roman" w:hAnsi="Times New Roman"/>
          <w:i/>
          <w:sz w:val="23"/>
          <w:szCs w:val="23"/>
        </w:rPr>
        <w:t xml:space="preserve">Рис. 3.3. </w:t>
      </w:r>
      <w:r w:rsidR="006C5B32" w:rsidRPr="006C5B32">
        <w:rPr>
          <w:rFonts w:ascii="Times New Roman" w:hAnsi="Times New Roman"/>
          <w:i/>
          <w:sz w:val="23"/>
          <w:szCs w:val="23"/>
        </w:rPr>
        <w:t>Прогноз о</w:t>
      </w:r>
      <w:r w:rsidRPr="006C5B32">
        <w:rPr>
          <w:rFonts w:ascii="Times New Roman" w:hAnsi="Times New Roman"/>
          <w:i/>
          <w:sz w:val="23"/>
          <w:szCs w:val="23"/>
        </w:rPr>
        <w:t>бъем</w:t>
      </w:r>
      <w:r w:rsidR="000E75F2">
        <w:rPr>
          <w:rFonts w:ascii="Times New Roman" w:hAnsi="Times New Roman"/>
          <w:i/>
          <w:sz w:val="23"/>
          <w:szCs w:val="23"/>
        </w:rPr>
        <w:t>а</w:t>
      </w:r>
      <w:r w:rsidRPr="006C5B32">
        <w:rPr>
          <w:rFonts w:ascii="Times New Roman" w:hAnsi="Times New Roman"/>
          <w:i/>
          <w:sz w:val="23"/>
          <w:szCs w:val="23"/>
        </w:rPr>
        <w:t xml:space="preserve"> отгруженной продукции собственного производства, организациями обрабатывающих производств </w:t>
      </w:r>
      <w:proofErr w:type="gramStart"/>
      <w:r w:rsidRPr="006C5B32">
        <w:rPr>
          <w:rFonts w:ascii="Times New Roman" w:hAnsi="Times New Roman"/>
          <w:i/>
          <w:sz w:val="23"/>
          <w:szCs w:val="23"/>
        </w:rPr>
        <w:t>Петропавловск-Камчатского</w:t>
      </w:r>
      <w:proofErr w:type="gramEnd"/>
      <w:r w:rsidRPr="006C5B32">
        <w:rPr>
          <w:rFonts w:ascii="Times New Roman" w:hAnsi="Times New Roman"/>
          <w:i/>
          <w:sz w:val="23"/>
          <w:szCs w:val="23"/>
        </w:rPr>
        <w:t xml:space="preserve"> городского округа</w:t>
      </w:r>
      <w:r w:rsidR="00B86867">
        <w:rPr>
          <w:rFonts w:ascii="Times New Roman" w:hAnsi="Times New Roman"/>
          <w:i/>
          <w:sz w:val="23"/>
          <w:szCs w:val="23"/>
        </w:rPr>
        <w:t xml:space="preserve"> на период 2017-2019 годов</w:t>
      </w:r>
      <w:r w:rsidR="00900AA0" w:rsidRPr="006C5B32">
        <w:rPr>
          <w:rFonts w:ascii="Times New Roman" w:hAnsi="Times New Roman"/>
          <w:i/>
          <w:sz w:val="23"/>
          <w:szCs w:val="23"/>
        </w:rPr>
        <w:t xml:space="preserve"> </w:t>
      </w:r>
    </w:p>
    <w:p w:rsidR="004153CE" w:rsidRPr="00304F9F" w:rsidRDefault="004153CE" w:rsidP="00025E70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304F9F">
        <w:rPr>
          <w:rFonts w:ascii="Times New Roman" w:hAnsi="Times New Roman"/>
          <w:sz w:val="28"/>
          <w:szCs w:val="28"/>
        </w:rPr>
        <w:t>В структуре обрабатывающих производств основные объемы выпуска будут сформированы предприятиями по производству пищевых продуктов (92,6 %) и судоремонтными предприятиями (2,7 %).</w:t>
      </w:r>
    </w:p>
    <w:p w:rsidR="004153CE" w:rsidRPr="00597BE8" w:rsidRDefault="004153CE" w:rsidP="00025E70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FF050F">
        <w:rPr>
          <w:rFonts w:ascii="Times New Roman" w:hAnsi="Times New Roman"/>
          <w:i/>
          <w:sz w:val="28"/>
          <w:szCs w:val="28"/>
        </w:rPr>
        <w:t>На предприятиях по производству пищевых продуктов, включая напитки,</w:t>
      </w:r>
      <w:r w:rsidRPr="00FF050F">
        <w:rPr>
          <w:rFonts w:ascii="Times New Roman" w:hAnsi="Times New Roman"/>
          <w:sz w:val="28"/>
          <w:szCs w:val="28"/>
        </w:rPr>
        <w:t xml:space="preserve"> индекс производства продукции составит 102,0 % в 2017 году, 102,2 % - в 2018 году, 103,0 % – в 2019 году. Объем отгруженной продукции, по прогнозу, составит 41 023,55 </w:t>
      </w:r>
      <w:proofErr w:type="gramStart"/>
      <w:r w:rsidRPr="00FF050F">
        <w:rPr>
          <w:rFonts w:ascii="Times New Roman" w:hAnsi="Times New Roman"/>
          <w:sz w:val="28"/>
          <w:szCs w:val="28"/>
        </w:rPr>
        <w:t>млн</w:t>
      </w:r>
      <w:proofErr w:type="gramEnd"/>
      <w:r w:rsidRPr="00FF050F">
        <w:rPr>
          <w:rFonts w:ascii="Times New Roman" w:hAnsi="Times New Roman"/>
          <w:sz w:val="28"/>
          <w:szCs w:val="28"/>
        </w:rPr>
        <w:t xml:space="preserve"> рублей в 2017 году, 43 980,45 млн </w:t>
      </w:r>
      <w:r w:rsidRPr="00597BE8">
        <w:rPr>
          <w:rFonts w:ascii="Times New Roman" w:hAnsi="Times New Roman"/>
          <w:sz w:val="28"/>
          <w:szCs w:val="28"/>
        </w:rPr>
        <w:t>рублей – в 2018 году, 47 293,06 млн рублей – в 2019 году.</w:t>
      </w:r>
    </w:p>
    <w:p w:rsidR="004153CE" w:rsidRPr="00597BE8" w:rsidRDefault="004153CE" w:rsidP="00025E70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597BE8">
        <w:rPr>
          <w:rFonts w:ascii="Times New Roman" w:hAnsi="Times New Roman"/>
          <w:i/>
          <w:sz w:val="28"/>
          <w:szCs w:val="28"/>
        </w:rPr>
        <w:t>На предприятиях по производству и ремонту транспортных средств и оборудования</w:t>
      </w:r>
      <w:r w:rsidRPr="00597BE8">
        <w:rPr>
          <w:rFonts w:ascii="Times New Roman" w:hAnsi="Times New Roman"/>
          <w:sz w:val="28"/>
          <w:szCs w:val="28"/>
        </w:rPr>
        <w:t xml:space="preserve"> объем отгруженной продукции оценивается в 2017 году в            1 172,99 </w:t>
      </w:r>
      <w:proofErr w:type="gramStart"/>
      <w:r w:rsidRPr="00597BE8">
        <w:rPr>
          <w:rFonts w:ascii="Times New Roman" w:hAnsi="Times New Roman"/>
          <w:sz w:val="28"/>
          <w:szCs w:val="28"/>
        </w:rPr>
        <w:t>млн</w:t>
      </w:r>
      <w:proofErr w:type="gramEnd"/>
      <w:r w:rsidRPr="00597BE8">
        <w:rPr>
          <w:rFonts w:ascii="Times New Roman" w:hAnsi="Times New Roman"/>
          <w:sz w:val="28"/>
          <w:szCs w:val="28"/>
        </w:rPr>
        <w:t xml:space="preserve"> рублей, в 2018 году – 1 227,05 млн рублей, в 2019 году –                 1 277,74 млн рублей. Индекс производства в 2017 году составит 100,1 %, в 2018 году – 100,2 %, в 2019 году – 101,0 %. </w:t>
      </w:r>
    </w:p>
    <w:p w:rsidR="004153CE" w:rsidRPr="00597BE8" w:rsidRDefault="004153CE" w:rsidP="00025E70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597BE8">
        <w:rPr>
          <w:rFonts w:ascii="Times New Roman" w:hAnsi="Times New Roman"/>
          <w:sz w:val="28"/>
          <w:szCs w:val="28"/>
        </w:rPr>
        <w:t>Рост производства в судоремонтной отрасли зависит от потребности рыбодобывающих предприятий и организаций в услугах судоремонта. Судоремонтными предприятиями обслуживается рыбопромысловый, научный и прочий флот, при этом большая часть судов находится в эксплуатации свыше 20 лет. В случае технического перевооружения судоремонтных предприятий отрасль имеет перспективы для более значительного увеличения производства.</w:t>
      </w:r>
    </w:p>
    <w:p w:rsidR="004153CE" w:rsidRPr="00597BE8" w:rsidRDefault="004153CE" w:rsidP="00025E70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20D00">
        <w:rPr>
          <w:rFonts w:ascii="Times New Roman" w:hAnsi="Times New Roman"/>
          <w:sz w:val="28"/>
          <w:szCs w:val="28"/>
        </w:rPr>
        <w:t>По варианту</w:t>
      </w:r>
      <w:r w:rsidR="006C5B32" w:rsidRPr="00C20D00">
        <w:rPr>
          <w:rFonts w:ascii="Times New Roman" w:hAnsi="Times New Roman"/>
          <w:sz w:val="28"/>
          <w:szCs w:val="28"/>
        </w:rPr>
        <w:t xml:space="preserve"> 2</w:t>
      </w:r>
      <w:r w:rsidRPr="00C20D00">
        <w:rPr>
          <w:rFonts w:ascii="Times New Roman" w:hAnsi="Times New Roman"/>
          <w:sz w:val="28"/>
          <w:szCs w:val="28"/>
        </w:rPr>
        <w:t xml:space="preserve"> </w:t>
      </w:r>
      <w:r w:rsidR="006C5B32" w:rsidRPr="00C20D00">
        <w:rPr>
          <w:rFonts w:ascii="Times New Roman" w:hAnsi="Times New Roman"/>
          <w:sz w:val="28"/>
          <w:szCs w:val="28"/>
        </w:rPr>
        <w:t>П</w:t>
      </w:r>
      <w:r w:rsidRPr="00C20D00">
        <w:rPr>
          <w:rFonts w:ascii="Times New Roman" w:hAnsi="Times New Roman"/>
          <w:sz w:val="28"/>
          <w:szCs w:val="28"/>
        </w:rPr>
        <w:t>рогноза</w:t>
      </w:r>
      <w:r w:rsidRPr="00597BE8">
        <w:rPr>
          <w:rFonts w:ascii="Times New Roman" w:hAnsi="Times New Roman"/>
          <w:sz w:val="28"/>
          <w:szCs w:val="28"/>
        </w:rPr>
        <w:t xml:space="preserve"> объем отгруженных товаров собственного производства </w:t>
      </w:r>
      <w:r w:rsidRPr="00597BE8">
        <w:rPr>
          <w:rFonts w:ascii="Times New Roman" w:hAnsi="Times New Roman"/>
          <w:i/>
          <w:sz w:val="28"/>
          <w:szCs w:val="28"/>
        </w:rPr>
        <w:t>обрабатывающих отраслей</w:t>
      </w:r>
      <w:r w:rsidRPr="00597BE8">
        <w:rPr>
          <w:rFonts w:ascii="Times New Roman" w:hAnsi="Times New Roman"/>
          <w:sz w:val="28"/>
          <w:szCs w:val="28"/>
        </w:rPr>
        <w:t xml:space="preserve"> оценивается в 2017 году в размере 44 468,82 </w:t>
      </w:r>
      <w:proofErr w:type="gramStart"/>
      <w:r w:rsidRPr="00597BE8">
        <w:rPr>
          <w:rFonts w:ascii="Times New Roman" w:hAnsi="Times New Roman"/>
          <w:sz w:val="28"/>
          <w:szCs w:val="28"/>
        </w:rPr>
        <w:t>млн</w:t>
      </w:r>
      <w:proofErr w:type="gramEnd"/>
      <w:r w:rsidRPr="00597BE8">
        <w:rPr>
          <w:rFonts w:ascii="Times New Roman" w:hAnsi="Times New Roman"/>
          <w:sz w:val="28"/>
          <w:szCs w:val="28"/>
        </w:rPr>
        <w:t xml:space="preserve"> рублей, в 2018 году – 47 481,63 млн рублей, в 2019 году – 50 999,01 млн рублей. Индекс производства прогнозируется на уровне 102,17 % в 2017 году, 102,28 % – в 2018 году, 103,18 % – в 2019 году. </w:t>
      </w:r>
    </w:p>
    <w:p w:rsidR="004153CE" w:rsidRPr="00597BE8" w:rsidRDefault="004153CE" w:rsidP="00025E70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597BE8">
        <w:rPr>
          <w:rFonts w:ascii="Times New Roman" w:hAnsi="Times New Roman"/>
          <w:i/>
          <w:sz w:val="28"/>
          <w:szCs w:val="28"/>
        </w:rPr>
        <w:t>На предприятиях по производству пищевых продуктов</w:t>
      </w:r>
      <w:r w:rsidRPr="00597BE8">
        <w:rPr>
          <w:rFonts w:ascii="Times New Roman" w:hAnsi="Times New Roman"/>
          <w:sz w:val="28"/>
          <w:szCs w:val="28"/>
        </w:rPr>
        <w:t xml:space="preserve">, включая напитки, индекс производства продукции составит 102,1 % в 2017 году,  102,3 % – в 2018 году, 103,2 % – в 2019 году. Объем отгруженной продукции по прогнозу составит 41 141,99 </w:t>
      </w:r>
      <w:proofErr w:type="gramStart"/>
      <w:r w:rsidRPr="00597BE8">
        <w:rPr>
          <w:rFonts w:ascii="Times New Roman" w:hAnsi="Times New Roman"/>
          <w:sz w:val="28"/>
          <w:szCs w:val="28"/>
        </w:rPr>
        <w:t>млн</w:t>
      </w:r>
      <w:proofErr w:type="gramEnd"/>
      <w:r w:rsidRPr="00597BE8">
        <w:rPr>
          <w:rFonts w:ascii="Times New Roman" w:hAnsi="Times New Roman"/>
          <w:sz w:val="28"/>
          <w:szCs w:val="28"/>
        </w:rPr>
        <w:t xml:space="preserve"> рублей в 2017 году, 43 940,14 млн рублей – в 2018 году, 47 250,77 млн рублей – в 2019 году.</w:t>
      </w:r>
    </w:p>
    <w:p w:rsidR="004153CE" w:rsidRPr="00F2385E" w:rsidRDefault="004153CE" w:rsidP="00025E70">
      <w:pPr>
        <w:widowControl w:val="0"/>
        <w:spacing w:after="0"/>
        <w:rPr>
          <w:rFonts w:ascii="Times New Roman" w:hAnsi="Times New Roman"/>
          <w:sz w:val="28"/>
          <w:szCs w:val="28"/>
          <w:highlight w:val="yellow"/>
        </w:rPr>
      </w:pPr>
      <w:r w:rsidRPr="00597BE8">
        <w:rPr>
          <w:rFonts w:ascii="Times New Roman" w:hAnsi="Times New Roman"/>
          <w:i/>
          <w:sz w:val="28"/>
          <w:szCs w:val="28"/>
        </w:rPr>
        <w:t>На предприятиях по производству и ремонту транспортных средств и оборудования</w:t>
      </w:r>
      <w:r w:rsidRPr="00597BE8">
        <w:rPr>
          <w:rFonts w:ascii="Times New Roman" w:hAnsi="Times New Roman"/>
          <w:sz w:val="28"/>
          <w:szCs w:val="28"/>
        </w:rPr>
        <w:t xml:space="preserve"> объем отгруженной продукции оценивается в 2017 году на уровне 1 207,90 </w:t>
      </w:r>
      <w:proofErr w:type="gramStart"/>
      <w:r w:rsidRPr="00597BE8">
        <w:rPr>
          <w:rFonts w:ascii="Times New Roman" w:hAnsi="Times New Roman"/>
          <w:sz w:val="28"/>
          <w:szCs w:val="28"/>
        </w:rPr>
        <w:t>млн</w:t>
      </w:r>
      <w:proofErr w:type="gramEnd"/>
      <w:r w:rsidRPr="00597BE8">
        <w:rPr>
          <w:rFonts w:ascii="Times New Roman" w:hAnsi="Times New Roman"/>
          <w:sz w:val="28"/>
          <w:szCs w:val="28"/>
        </w:rPr>
        <w:t xml:space="preserve"> рублей, в 2018 году – 1 285,56 млн рублей, в 2019 году – 1 350,43 млн рублей. Индекс производства в 2017 году составит 100,5 %, в 2018 году – 100,5 %, в 2019 году – 101,2 %.</w:t>
      </w:r>
    </w:p>
    <w:p w:rsidR="004153CE" w:rsidRPr="00697853" w:rsidRDefault="004153CE" w:rsidP="00025E70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20D00">
        <w:rPr>
          <w:rFonts w:ascii="Times New Roman" w:hAnsi="Times New Roman"/>
          <w:i/>
          <w:sz w:val="28"/>
          <w:szCs w:val="28"/>
        </w:rPr>
        <w:lastRenderedPageBreak/>
        <w:t>Производство и распределение электроэнергии, газа и воды</w:t>
      </w:r>
      <w:r w:rsidRPr="0069785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97853">
        <w:rPr>
          <w:rFonts w:ascii="Times New Roman" w:hAnsi="Times New Roman"/>
          <w:sz w:val="28"/>
          <w:szCs w:val="28"/>
        </w:rPr>
        <w:t xml:space="preserve">составляет 22,2 % промышленного производства городского округа. На предприятиях по производству электроэнергии, газа и воды объем отгруженной продукции в 2015 году по отношению к 2014 году увеличился и составил </w:t>
      </w:r>
      <w:r w:rsidRPr="00697853">
        <w:rPr>
          <w:rFonts w:ascii="Times New Roman" w:eastAsia="Times New Roman" w:hAnsi="Times New Roman"/>
          <w:sz w:val="28"/>
          <w:szCs w:val="28"/>
          <w:lang w:eastAsia="ru-RU"/>
        </w:rPr>
        <w:t xml:space="preserve">8 927,6 млн. рублей (в 2014 году </w:t>
      </w:r>
      <w:r w:rsidRPr="00697853">
        <w:rPr>
          <w:rFonts w:ascii="Times New Roman" w:hAnsi="Times New Roman"/>
          <w:sz w:val="28"/>
          <w:szCs w:val="28"/>
        </w:rPr>
        <w:t>–</w:t>
      </w:r>
      <w:r w:rsidRPr="00697853">
        <w:rPr>
          <w:rFonts w:ascii="Times New Roman" w:eastAsia="Times New Roman" w:hAnsi="Times New Roman"/>
          <w:sz w:val="28"/>
          <w:szCs w:val="28"/>
          <w:lang w:eastAsia="ru-RU"/>
        </w:rPr>
        <w:t xml:space="preserve"> 8 648,6 </w:t>
      </w:r>
      <w:proofErr w:type="gramStart"/>
      <w:r w:rsidRPr="00697853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proofErr w:type="gramEnd"/>
      <w:r w:rsidRPr="0069785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рублей). Предприятиями произведено 966,5 </w:t>
      </w:r>
      <w:r w:rsidRPr="00697853">
        <w:rPr>
          <w:rFonts w:ascii="Times New Roman" w:hAnsi="Times New Roman"/>
          <w:sz w:val="28"/>
          <w:szCs w:val="28"/>
        </w:rPr>
        <w:t>млн кВт/</w:t>
      </w:r>
      <w:proofErr w:type="gramStart"/>
      <w:r w:rsidRPr="00697853">
        <w:rPr>
          <w:rFonts w:ascii="Times New Roman" w:hAnsi="Times New Roman"/>
          <w:sz w:val="28"/>
          <w:szCs w:val="28"/>
        </w:rPr>
        <w:t>ч</w:t>
      </w:r>
      <w:proofErr w:type="gramEnd"/>
      <w:r w:rsidRPr="00697853">
        <w:rPr>
          <w:rFonts w:ascii="Times New Roman" w:hAnsi="Times New Roman"/>
          <w:sz w:val="28"/>
          <w:szCs w:val="28"/>
        </w:rPr>
        <w:t xml:space="preserve"> электрической энергии и 1 826,0 </w:t>
      </w:r>
      <w:r w:rsidRPr="00697853">
        <w:rPr>
          <w:rFonts w:ascii="Times New Roman" w:eastAsia="Times New Roman" w:hAnsi="Times New Roman"/>
          <w:sz w:val="28"/>
          <w:szCs w:val="28"/>
          <w:lang w:eastAsia="ru-RU"/>
        </w:rPr>
        <w:t>тысяч Гкал тепловой энергии. Производство электрической энергии увеличилось на 0,9 %, производство тепловой энергии снизилось на 7,0 %.</w:t>
      </w:r>
    </w:p>
    <w:p w:rsidR="004153CE" w:rsidRPr="000F785A" w:rsidRDefault="004153CE" w:rsidP="00025E70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697853">
        <w:rPr>
          <w:rFonts w:ascii="Times New Roman" w:hAnsi="Times New Roman"/>
          <w:sz w:val="28"/>
          <w:szCs w:val="28"/>
        </w:rPr>
        <w:t>По состоянию на 01.01.2016 по виду деятельности «</w:t>
      </w:r>
      <w:r>
        <w:rPr>
          <w:rFonts w:ascii="Times New Roman" w:hAnsi="Times New Roman"/>
          <w:sz w:val="28"/>
          <w:szCs w:val="28"/>
        </w:rPr>
        <w:t>П</w:t>
      </w:r>
      <w:r w:rsidRPr="00697853">
        <w:rPr>
          <w:rFonts w:ascii="Times New Roman" w:hAnsi="Times New Roman"/>
          <w:sz w:val="28"/>
          <w:szCs w:val="28"/>
        </w:rPr>
        <w:t>роизводство и распределение электроэнергии, газа и воды» зарегистрировано 67 крупных и средних предприяти</w:t>
      </w:r>
      <w:r>
        <w:rPr>
          <w:rFonts w:ascii="Times New Roman" w:hAnsi="Times New Roman"/>
          <w:sz w:val="28"/>
          <w:szCs w:val="28"/>
        </w:rPr>
        <w:t>й</w:t>
      </w:r>
      <w:r w:rsidRPr="00697853">
        <w:rPr>
          <w:rFonts w:ascii="Times New Roman" w:hAnsi="Times New Roman"/>
          <w:sz w:val="28"/>
          <w:szCs w:val="28"/>
        </w:rPr>
        <w:t xml:space="preserve">. Среднесписочная численность работников отрасли составила 4 946 человек (98,2 % к предыдущему году). Среднемесячная заработная плата в 2015 году выросла на 11,8 %, ее размер составил 70 999,0 рублей. Сальдированный финансовый результат крупных и средних организаций отрасли составил 2 485,1 </w:t>
      </w:r>
      <w:proofErr w:type="gramStart"/>
      <w:r w:rsidRPr="00697853">
        <w:rPr>
          <w:rFonts w:ascii="Times New Roman" w:hAnsi="Times New Roman"/>
          <w:sz w:val="28"/>
          <w:szCs w:val="28"/>
        </w:rPr>
        <w:t>млн</w:t>
      </w:r>
      <w:proofErr w:type="gramEnd"/>
      <w:r w:rsidRPr="00697853">
        <w:rPr>
          <w:rFonts w:ascii="Times New Roman" w:hAnsi="Times New Roman"/>
          <w:sz w:val="28"/>
          <w:szCs w:val="28"/>
        </w:rPr>
        <w:t xml:space="preserve"> рублей прибыли (в 2014 году – 3 183,2 млн рублей убытка). Удельный вес убыточных организаций составил 37,</w:t>
      </w:r>
      <w:r w:rsidRPr="000F785A">
        <w:rPr>
          <w:rFonts w:ascii="Times New Roman" w:hAnsi="Times New Roman"/>
          <w:sz w:val="28"/>
          <w:szCs w:val="28"/>
        </w:rPr>
        <w:t>5 % (в 2014 году – 63,6 %).</w:t>
      </w:r>
    </w:p>
    <w:p w:rsidR="004153CE" w:rsidRPr="000F785A" w:rsidRDefault="004153CE" w:rsidP="00025E70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C20D00">
        <w:rPr>
          <w:rFonts w:ascii="Times New Roman" w:hAnsi="Times New Roman"/>
          <w:i/>
          <w:sz w:val="28"/>
          <w:szCs w:val="28"/>
        </w:rPr>
        <w:t>На предприятиях по производству и распределению электроэнергии, газа и воды по первому варианту прогноза</w:t>
      </w:r>
      <w:r w:rsidRPr="000F785A">
        <w:rPr>
          <w:rFonts w:ascii="Times New Roman" w:hAnsi="Times New Roman"/>
          <w:sz w:val="28"/>
          <w:szCs w:val="28"/>
        </w:rPr>
        <w:t xml:space="preserve"> (рис</w:t>
      </w:r>
      <w:r w:rsidR="00B11F23">
        <w:rPr>
          <w:rFonts w:ascii="Times New Roman" w:hAnsi="Times New Roman"/>
          <w:sz w:val="28"/>
          <w:szCs w:val="28"/>
        </w:rPr>
        <w:t>уноке</w:t>
      </w:r>
      <w:r w:rsidRPr="000F785A">
        <w:rPr>
          <w:rFonts w:ascii="Times New Roman" w:hAnsi="Times New Roman"/>
          <w:sz w:val="28"/>
          <w:szCs w:val="28"/>
        </w:rPr>
        <w:t xml:space="preserve">3.4.) объем отгруженной продукции прогнозируется в 2017 году в сумме 10 427,26 </w:t>
      </w:r>
      <w:proofErr w:type="gramStart"/>
      <w:r w:rsidRPr="000F785A">
        <w:rPr>
          <w:rFonts w:ascii="Times New Roman" w:hAnsi="Times New Roman"/>
          <w:sz w:val="28"/>
          <w:szCs w:val="28"/>
        </w:rPr>
        <w:t>млн</w:t>
      </w:r>
      <w:proofErr w:type="gramEnd"/>
      <w:r w:rsidRPr="000F785A">
        <w:rPr>
          <w:rFonts w:ascii="Times New Roman" w:hAnsi="Times New Roman"/>
          <w:sz w:val="28"/>
          <w:szCs w:val="28"/>
        </w:rPr>
        <w:t xml:space="preserve"> рублей, в 2018 году – 11 079,60 млн рублей, в 2019 году – 11 832,34 млн рублей. Индекс производства прогнозируется в 2017 году на уровне 100,5 %, в 2018 году – 101,1 %, в 2019 году – 102,0 %</w:t>
      </w:r>
      <w:r w:rsidR="00B86867">
        <w:rPr>
          <w:rFonts w:ascii="Times New Roman" w:hAnsi="Times New Roman"/>
          <w:sz w:val="28"/>
          <w:szCs w:val="28"/>
        </w:rPr>
        <w:t xml:space="preserve"> </w:t>
      </w:r>
      <w:r w:rsidR="00B11F23">
        <w:rPr>
          <w:rFonts w:ascii="Times New Roman" w:hAnsi="Times New Roman"/>
          <w:sz w:val="28"/>
          <w:szCs w:val="28"/>
        </w:rPr>
        <w:t>.</w:t>
      </w:r>
    </w:p>
    <w:p w:rsidR="004153CE" w:rsidRPr="004734FA" w:rsidRDefault="004153CE" w:rsidP="00025E70">
      <w:pPr>
        <w:widowControl w:val="0"/>
        <w:spacing w:before="120"/>
        <w:ind w:firstLine="284"/>
        <w:jc w:val="center"/>
        <w:rPr>
          <w:rFonts w:ascii="Times New Roman" w:hAnsi="Times New Roman"/>
          <w:i/>
          <w:sz w:val="24"/>
          <w:szCs w:val="24"/>
        </w:rPr>
      </w:pPr>
      <w:r w:rsidRPr="004734FA">
        <w:rPr>
          <w:rFonts w:ascii="Times New Roman" w:hAnsi="Times New Roman"/>
          <w:i/>
          <w:noProof/>
          <w:sz w:val="24"/>
          <w:szCs w:val="24"/>
          <w:bdr w:val="single" w:sz="4" w:space="0" w:color="auto"/>
          <w:lang w:eastAsia="ru-RU"/>
        </w:rPr>
        <w:drawing>
          <wp:inline distT="0" distB="0" distL="0" distR="0" wp14:anchorId="686CAD19" wp14:editId="2C399058">
            <wp:extent cx="5486400" cy="2562045"/>
            <wp:effectExtent l="0" t="0" r="0" b="0"/>
            <wp:docPr id="4" name="Диаграм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153CE" w:rsidRPr="004734FA" w:rsidRDefault="004153CE" w:rsidP="004153CE">
      <w:pPr>
        <w:widowControl w:val="0"/>
        <w:spacing w:before="120"/>
        <w:jc w:val="center"/>
        <w:rPr>
          <w:rFonts w:ascii="Times New Roman" w:hAnsi="Times New Roman"/>
          <w:i/>
          <w:sz w:val="24"/>
          <w:szCs w:val="24"/>
        </w:rPr>
      </w:pPr>
      <w:r w:rsidRPr="004734FA">
        <w:rPr>
          <w:rFonts w:ascii="Times New Roman" w:hAnsi="Times New Roman"/>
          <w:i/>
          <w:sz w:val="24"/>
          <w:szCs w:val="24"/>
        </w:rPr>
        <w:t xml:space="preserve">Рис. 3.4. </w:t>
      </w:r>
      <w:proofErr w:type="gramStart"/>
      <w:r w:rsidR="00B11F23">
        <w:rPr>
          <w:rFonts w:ascii="Times New Roman" w:hAnsi="Times New Roman"/>
          <w:i/>
          <w:sz w:val="24"/>
          <w:szCs w:val="24"/>
        </w:rPr>
        <w:t>Прогноз о</w:t>
      </w:r>
      <w:r w:rsidRPr="004734FA">
        <w:rPr>
          <w:rFonts w:ascii="Times New Roman" w:hAnsi="Times New Roman"/>
          <w:i/>
          <w:sz w:val="24"/>
          <w:szCs w:val="24"/>
        </w:rPr>
        <w:t>бъем</w:t>
      </w:r>
      <w:r w:rsidR="00B11F23">
        <w:rPr>
          <w:rFonts w:ascii="Times New Roman" w:hAnsi="Times New Roman"/>
          <w:i/>
          <w:sz w:val="24"/>
          <w:szCs w:val="24"/>
        </w:rPr>
        <w:t>а</w:t>
      </w:r>
      <w:r w:rsidRPr="004734FA">
        <w:rPr>
          <w:rFonts w:ascii="Times New Roman" w:hAnsi="Times New Roman"/>
          <w:i/>
          <w:sz w:val="24"/>
          <w:szCs w:val="24"/>
        </w:rPr>
        <w:t xml:space="preserve"> отгруженной продукции, выполненных работ, услуг организациями по производству и распределению электроэнергии, газа и воды (по полному кругу производителей</w:t>
      </w:r>
      <w:r w:rsidR="00B11F23">
        <w:rPr>
          <w:rFonts w:ascii="Times New Roman" w:hAnsi="Times New Roman"/>
          <w:i/>
          <w:sz w:val="24"/>
          <w:szCs w:val="24"/>
        </w:rPr>
        <w:t>) на период 2017-2018 годов</w:t>
      </w:r>
      <w:proofErr w:type="gramEnd"/>
    </w:p>
    <w:p w:rsidR="004153CE" w:rsidRPr="006C5B32" w:rsidRDefault="006C5B32" w:rsidP="006C5B32">
      <w:pPr>
        <w:widowControl w:val="0"/>
        <w:spacing w:after="60"/>
        <w:rPr>
          <w:rFonts w:ascii="Times New Roman" w:hAnsi="Times New Roman"/>
          <w:sz w:val="28"/>
          <w:szCs w:val="28"/>
        </w:rPr>
      </w:pPr>
      <w:r w:rsidRPr="00C20D00">
        <w:rPr>
          <w:rFonts w:ascii="Times New Roman" w:hAnsi="Times New Roman"/>
          <w:sz w:val="28"/>
          <w:szCs w:val="28"/>
        </w:rPr>
        <w:t>По варианту 2 Прогноза</w:t>
      </w:r>
      <w:r w:rsidRPr="00597BE8">
        <w:rPr>
          <w:rFonts w:ascii="Times New Roman" w:hAnsi="Times New Roman"/>
          <w:sz w:val="28"/>
          <w:szCs w:val="28"/>
        </w:rPr>
        <w:t xml:space="preserve"> </w:t>
      </w:r>
      <w:r w:rsidR="004153CE" w:rsidRPr="000F785A">
        <w:rPr>
          <w:rFonts w:ascii="Times New Roman" w:hAnsi="Times New Roman"/>
          <w:sz w:val="28"/>
          <w:szCs w:val="28"/>
        </w:rPr>
        <w:t xml:space="preserve">на предприятиях по производству и распределению электроэнергии, газа и воды объем отгруженной продукции прогнозируется в размере 10 548,88 </w:t>
      </w:r>
      <w:proofErr w:type="gramStart"/>
      <w:r w:rsidR="004153CE" w:rsidRPr="000F785A">
        <w:rPr>
          <w:rFonts w:ascii="Times New Roman" w:hAnsi="Times New Roman"/>
          <w:sz w:val="28"/>
          <w:szCs w:val="28"/>
        </w:rPr>
        <w:t>млн</w:t>
      </w:r>
      <w:proofErr w:type="gramEnd"/>
      <w:r w:rsidR="004153CE" w:rsidRPr="000F785A">
        <w:rPr>
          <w:rFonts w:ascii="Times New Roman" w:hAnsi="Times New Roman"/>
          <w:sz w:val="28"/>
          <w:szCs w:val="28"/>
        </w:rPr>
        <w:t xml:space="preserve"> рублей в 2017 году, 11 231,01 млн </w:t>
      </w:r>
      <w:r w:rsidR="004153CE" w:rsidRPr="006C5B32">
        <w:rPr>
          <w:rFonts w:ascii="Times New Roman" w:hAnsi="Times New Roman"/>
          <w:sz w:val="28"/>
          <w:szCs w:val="28"/>
        </w:rPr>
        <w:t xml:space="preserve">рублей – в 2018 году, 12 005,80 млн рублей – в 2019 году. Индекс производства составит 101,1 % в 2017 году, 101,3 % – в 2018 году, 102,1 % – в 2019 году. </w:t>
      </w:r>
    </w:p>
    <w:p w:rsidR="004153CE" w:rsidRPr="000F785A" w:rsidRDefault="004153CE" w:rsidP="006C5B32">
      <w:pPr>
        <w:widowControl w:val="0"/>
        <w:spacing w:after="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B32">
        <w:rPr>
          <w:rFonts w:ascii="Times New Roman" w:hAnsi="Times New Roman"/>
          <w:noProof/>
          <w:sz w:val="28"/>
          <w:szCs w:val="28"/>
          <w:lang w:eastAsia="ru-RU"/>
        </w:rPr>
        <w:t xml:space="preserve">В целом в промышленном секторе экономики в прогнозном периоде </w:t>
      </w:r>
      <w:r w:rsidRPr="006C5B32">
        <w:rPr>
          <w:rFonts w:ascii="Times New Roman" w:hAnsi="Times New Roman"/>
          <w:sz w:val="28"/>
          <w:szCs w:val="28"/>
        </w:rPr>
        <w:t xml:space="preserve">ожидается незначительный рост объемов промышленного производства. На основе тенденций развития и сложившейся отраслевой структуры, прогнозируется, что в 2017-2019 годах среднегодовой прирост общего объема </w:t>
      </w:r>
      <w:r w:rsidRPr="006C5B32">
        <w:rPr>
          <w:rFonts w:ascii="Times New Roman" w:hAnsi="Times New Roman"/>
          <w:sz w:val="28"/>
          <w:szCs w:val="28"/>
        </w:rPr>
        <w:lastRenderedPageBreak/>
        <w:t>отгруженных товаров собственного производства, выполненных работ, оказанных услуг в производственном секторе составит около 6,7-7,5 % в действующих</w:t>
      </w:r>
      <w:r w:rsidRPr="000F785A">
        <w:rPr>
          <w:rFonts w:ascii="Times New Roman" w:hAnsi="Times New Roman"/>
          <w:sz w:val="28"/>
          <w:szCs w:val="28"/>
        </w:rPr>
        <w:t xml:space="preserve"> ценах.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785A">
        <w:rPr>
          <w:rFonts w:ascii="Times New Roman" w:eastAsia="Times New Roman" w:hAnsi="Times New Roman"/>
          <w:sz w:val="28"/>
          <w:szCs w:val="28"/>
          <w:lang w:eastAsia="ru-RU"/>
        </w:rPr>
        <w:t>Прогноз объемов промышленного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оизводства в действующих ценах </w:t>
      </w:r>
      <w:r w:rsidRPr="000F785A">
        <w:rPr>
          <w:rFonts w:ascii="Times New Roman" w:eastAsia="Times New Roman" w:hAnsi="Times New Roman"/>
          <w:sz w:val="28"/>
          <w:szCs w:val="28"/>
          <w:lang w:eastAsia="ru-RU"/>
        </w:rPr>
        <w:t>представлен на рисунке 3.5</w:t>
      </w:r>
      <w:r w:rsidR="008B43DA">
        <w:rPr>
          <w:rFonts w:ascii="Times New Roman" w:eastAsia="Times New Roman" w:hAnsi="Times New Roman"/>
          <w:sz w:val="28"/>
          <w:szCs w:val="28"/>
          <w:lang w:eastAsia="ru-RU"/>
        </w:rPr>
        <w:t>.:</w:t>
      </w:r>
    </w:p>
    <w:p w:rsidR="004153CE" w:rsidRPr="00F2385E" w:rsidRDefault="004153CE" w:rsidP="00025E70">
      <w:pPr>
        <w:widowControl w:val="0"/>
        <w:tabs>
          <w:tab w:val="left" w:pos="9781"/>
        </w:tabs>
        <w:ind w:firstLine="0"/>
        <w:rPr>
          <w:rFonts w:ascii="Times New Roman" w:hAnsi="Times New Roman"/>
          <w:color w:val="0070C0"/>
          <w:sz w:val="28"/>
          <w:szCs w:val="28"/>
          <w:highlight w:val="yellow"/>
        </w:rPr>
      </w:pPr>
      <w:r w:rsidRPr="00F2385E">
        <w:rPr>
          <w:rFonts w:eastAsia="Times New Roman"/>
          <w:b/>
          <w:i/>
          <w:noProof/>
          <w:sz w:val="21"/>
          <w:szCs w:val="21"/>
          <w:highlight w:val="yellow"/>
          <w:bdr w:val="single" w:sz="4" w:space="0" w:color="auto"/>
          <w:lang w:eastAsia="ru-RU"/>
        </w:rPr>
        <w:drawing>
          <wp:inline distT="0" distB="0" distL="0" distR="0" wp14:anchorId="055B258B" wp14:editId="14BBE651">
            <wp:extent cx="5667375" cy="2190750"/>
            <wp:effectExtent l="0" t="0" r="0" b="0"/>
            <wp:docPr id="5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153CE" w:rsidRPr="00806C19" w:rsidRDefault="004153CE" w:rsidP="00806C19">
      <w:pPr>
        <w:spacing w:after="0"/>
        <w:jc w:val="center"/>
        <w:rPr>
          <w:rFonts w:ascii="Times New Roman" w:hAnsi="Times New Roman" w:cs="Times New Roman"/>
          <w:i/>
          <w:sz w:val="24"/>
          <w:lang w:eastAsia="ru-RU"/>
        </w:rPr>
      </w:pPr>
      <w:bookmarkStart w:id="19" w:name="_Toc400467624"/>
      <w:bookmarkStart w:id="20" w:name="_Toc400467729"/>
      <w:bookmarkStart w:id="21" w:name="_Toc400529659"/>
      <w:bookmarkStart w:id="22" w:name="_Toc430946759"/>
      <w:bookmarkStart w:id="23" w:name="_Toc430947232"/>
      <w:r w:rsidRPr="00806C19">
        <w:rPr>
          <w:rFonts w:ascii="Times New Roman" w:hAnsi="Times New Roman" w:cs="Times New Roman"/>
          <w:i/>
          <w:sz w:val="24"/>
          <w:lang w:eastAsia="ru-RU"/>
        </w:rPr>
        <w:t>Рис. 3.5. Прогноз объемов промышленного производства</w:t>
      </w:r>
      <w:bookmarkEnd w:id="19"/>
      <w:bookmarkEnd w:id="20"/>
      <w:bookmarkEnd w:id="21"/>
      <w:bookmarkEnd w:id="22"/>
      <w:bookmarkEnd w:id="23"/>
    </w:p>
    <w:p w:rsidR="004153CE" w:rsidRPr="00806C19" w:rsidRDefault="004153CE" w:rsidP="00806C19">
      <w:pPr>
        <w:jc w:val="center"/>
        <w:rPr>
          <w:rFonts w:ascii="Times New Roman" w:hAnsi="Times New Roman" w:cs="Times New Roman"/>
          <w:i/>
          <w:sz w:val="24"/>
          <w:lang w:eastAsia="ru-RU"/>
        </w:rPr>
      </w:pPr>
      <w:bookmarkStart w:id="24" w:name="_Toc400467625"/>
      <w:bookmarkStart w:id="25" w:name="_Toc400467730"/>
      <w:bookmarkStart w:id="26" w:name="_Toc400529660"/>
      <w:bookmarkStart w:id="27" w:name="_Toc430946760"/>
      <w:bookmarkStart w:id="28" w:name="_Toc430947233"/>
      <w:r w:rsidRPr="00806C19">
        <w:rPr>
          <w:rFonts w:ascii="Times New Roman" w:hAnsi="Times New Roman" w:cs="Times New Roman"/>
          <w:i/>
          <w:sz w:val="24"/>
          <w:lang w:eastAsia="ru-RU"/>
        </w:rPr>
        <w:t xml:space="preserve">на </w:t>
      </w:r>
      <w:r w:rsidR="00025E70" w:rsidRPr="00806C19">
        <w:rPr>
          <w:rFonts w:ascii="Times New Roman" w:hAnsi="Times New Roman" w:cs="Times New Roman"/>
          <w:i/>
          <w:sz w:val="24"/>
          <w:lang w:eastAsia="ru-RU"/>
        </w:rPr>
        <w:t xml:space="preserve">период </w:t>
      </w:r>
      <w:r w:rsidRPr="00806C19">
        <w:rPr>
          <w:rFonts w:ascii="Times New Roman" w:hAnsi="Times New Roman" w:cs="Times New Roman"/>
          <w:i/>
          <w:sz w:val="24"/>
          <w:lang w:eastAsia="ru-RU"/>
        </w:rPr>
        <w:t>2017-2019 год</w:t>
      </w:r>
      <w:r w:rsidR="00025E70" w:rsidRPr="00806C19">
        <w:rPr>
          <w:rFonts w:ascii="Times New Roman" w:hAnsi="Times New Roman" w:cs="Times New Roman"/>
          <w:i/>
          <w:sz w:val="24"/>
          <w:lang w:eastAsia="ru-RU"/>
        </w:rPr>
        <w:t>ов</w:t>
      </w:r>
      <w:r w:rsidRPr="00806C19">
        <w:rPr>
          <w:rFonts w:ascii="Times New Roman" w:hAnsi="Times New Roman" w:cs="Times New Roman"/>
          <w:i/>
          <w:sz w:val="24"/>
          <w:lang w:eastAsia="ru-RU"/>
        </w:rPr>
        <w:t xml:space="preserve">, </w:t>
      </w:r>
      <w:proofErr w:type="gramStart"/>
      <w:r w:rsidRPr="00806C19">
        <w:rPr>
          <w:rFonts w:ascii="Times New Roman" w:hAnsi="Times New Roman" w:cs="Times New Roman"/>
          <w:i/>
          <w:sz w:val="24"/>
          <w:lang w:eastAsia="ru-RU"/>
        </w:rPr>
        <w:t>млн</w:t>
      </w:r>
      <w:proofErr w:type="gramEnd"/>
      <w:r w:rsidRPr="00806C19">
        <w:rPr>
          <w:rFonts w:ascii="Times New Roman" w:hAnsi="Times New Roman" w:cs="Times New Roman"/>
          <w:i/>
          <w:sz w:val="24"/>
          <w:lang w:eastAsia="ru-RU"/>
        </w:rPr>
        <w:t xml:space="preserve"> рублей</w:t>
      </w:r>
      <w:bookmarkEnd w:id="24"/>
      <w:bookmarkEnd w:id="25"/>
      <w:bookmarkEnd w:id="26"/>
      <w:bookmarkEnd w:id="27"/>
      <w:bookmarkEnd w:id="28"/>
    </w:p>
    <w:p w:rsidR="008B43DA" w:rsidRPr="000F785A" w:rsidRDefault="008B43DA" w:rsidP="008B43DA">
      <w:pPr>
        <w:widowControl w:val="0"/>
        <w:spacing w:after="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85A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 индексов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промышленного производства представлен </w:t>
      </w:r>
      <w:r w:rsidRPr="000F785A">
        <w:rPr>
          <w:rFonts w:ascii="Times New Roman" w:eastAsia="Times New Roman" w:hAnsi="Times New Roman"/>
          <w:sz w:val="28"/>
          <w:szCs w:val="28"/>
          <w:lang w:eastAsia="ru-RU"/>
        </w:rPr>
        <w:t>на рисунке 3.6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F785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153CE" w:rsidRPr="00F2385E" w:rsidRDefault="004153CE" w:rsidP="004153CE">
      <w:pPr>
        <w:ind w:firstLine="0"/>
        <w:jc w:val="center"/>
        <w:rPr>
          <w:rFonts w:ascii="Times New Roman" w:eastAsia="Times New Roman" w:hAnsi="Times New Roman"/>
          <w:i/>
          <w:sz w:val="24"/>
          <w:szCs w:val="24"/>
          <w:highlight w:val="yellow"/>
          <w:lang w:eastAsia="ru-RU"/>
        </w:rPr>
      </w:pPr>
      <w:r w:rsidRPr="00F2385E">
        <w:rPr>
          <w:rFonts w:ascii="Times New Roman" w:eastAsia="Times New Roman" w:hAnsi="Times New Roman"/>
          <w:i/>
          <w:noProof/>
          <w:sz w:val="21"/>
          <w:szCs w:val="21"/>
          <w:highlight w:val="yellow"/>
          <w:bdr w:val="single" w:sz="4" w:space="0" w:color="auto"/>
          <w:lang w:eastAsia="ru-RU"/>
        </w:rPr>
        <w:drawing>
          <wp:inline distT="0" distB="0" distL="0" distR="0" wp14:anchorId="44D80788" wp14:editId="2EA5D42F">
            <wp:extent cx="5524500" cy="1743075"/>
            <wp:effectExtent l="0" t="0" r="0" b="0"/>
            <wp:docPr id="6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153CE" w:rsidRPr="00D57079" w:rsidRDefault="004153CE" w:rsidP="004153CE">
      <w:pPr>
        <w:spacing w:after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7079">
        <w:rPr>
          <w:rFonts w:ascii="Times New Roman" w:eastAsia="Times New Roman" w:hAnsi="Times New Roman"/>
          <w:i/>
          <w:sz w:val="24"/>
          <w:szCs w:val="24"/>
          <w:lang w:eastAsia="ru-RU"/>
        </w:rPr>
        <w:t>Рис.3.6. Прогноз индекса промышленного производства на 2017-2019 годы,</w:t>
      </w:r>
    </w:p>
    <w:p w:rsidR="004153CE" w:rsidRPr="00D57079" w:rsidRDefault="004153CE" w:rsidP="00025E70">
      <w:pPr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7079">
        <w:rPr>
          <w:rFonts w:ascii="Times New Roman" w:eastAsia="Times New Roman" w:hAnsi="Times New Roman"/>
          <w:i/>
          <w:sz w:val="24"/>
          <w:szCs w:val="24"/>
          <w:lang w:eastAsia="ru-RU"/>
        </w:rPr>
        <w:t>% к предыдущему году</w:t>
      </w:r>
    </w:p>
    <w:p w:rsidR="004153CE" w:rsidRDefault="004153CE" w:rsidP="004153CE">
      <w:pPr>
        <w:spacing w:after="0"/>
        <w:rPr>
          <w:rFonts w:ascii="Times New Roman" w:hAnsi="Times New Roman"/>
          <w:sz w:val="28"/>
          <w:szCs w:val="28"/>
        </w:rPr>
      </w:pPr>
      <w:r w:rsidRPr="004153C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4153C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57079">
        <w:rPr>
          <w:rFonts w:ascii="Times New Roman" w:eastAsia="Times New Roman" w:hAnsi="Times New Roman"/>
          <w:sz w:val="28"/>
          <w:szCs w:val="28"/>
          <w:lang w:eastAsia="ru-RU"/>
        </w:rPr>
        <w:t xml:space="preserve">ост промышленного производства будет обеспечиваться объемами обрабатывающей промышленности. </w:t>
      </w:r>
      <w:r w:rsidRPr="00D57079">
        <w:rPr>
          <w:rFonts w:ascii="Times New Roman" w:hAnsi="Times New Roman"/>
          <w:sz w:val="28"/>
          <w:szCs w:val="28"/>
        </w:rPr>
        <w:t>Прогнозируется увеличение объемов производства пищевой промышленности (рыбы и продуктов рыбных переработанных и консервированных, цельномолочной продукции, газированной воды, комбикормов и пр.), наметился рост объемов производства на судоремонтных предприятиях</w:t>
      </w:r>
      <w:r w:rsidRPr="00D57079">
        <w:rPr>
          <w:rFonts w:ascii="Times New Roman" w:hAnsi="Times New Roman"/>
          <w:spacing w:val="-2"/>
          <w:sz w:val="28"/>
          <w:szCs w:val="28"/>
        </w:rPr>
        <w:t xml:space="preserve">. Сдерживающими факторами развития промышленного производства являются: </w:t>
      </w:r>
      <w:r w:rsidRPr="00D57079">
        <w:rPr>
          <w:rFonts w:ascii="Times New Roman" w:hAnsi="Times New Roman"/>
          <w:sz w:val="28"/>
          <w:szCs w:val="28"/>
        </w:rPr>
        <w:t xml:space="preserve">низкий уровень технологического обновления, высокая степень износа основных производственных фондов, высокие транспортные тарифы </w:t>
      </w:r>
      <w:r w:rsidRPr="00D57079">
        <w:rPr>
          <w:rFonts w:ascii="Times New Roman" w:eastAsia="Times New Roman" w:hAnsi="Times New Roman"/>
          <w:sz w:val="28"/>
          <w:szCs w:val="28"/>
          <w:lang w:eastAsia="ru-RU"/>
        </w:rPr>
        <w:t>и тарифы на энергоресурсы</w:t>
      </w:r>
      <w:r w:rsidRPr="00D57079">
        <w:rPr>
          <w:rFonts w:ascii="Times New Roman" w:hAnsi="Times New Roman"/>
          <w:sz w:val="28"/>
          <w:szCs w:val="28"/>
        </w:rPr>
        <w:t>, что влечет рост издержек производства и влияет на конкурентоспособность продукции на внутреннем и внешнем рынках.</w:t>
      </w:r>
    </w:p>
    <w:p w:rsidR="001F696A" w:rsidRPr="00E20FE8" w:rsidRDefault="001F696A" w:rsidP="004153CE">
      <w:pPr>
        <w:spacing w:after="0"/>
        <w:rPr>
          <w:rFonts w:ascii="Times New Roman" w:hAnsi="Times New Roman"/>
          <w:sz w:val="28"/>
          <w:szCs w:val="28"/>
        </w:rPr>
      </w:pPr>
    </w:p>
    <w:p w:rsidR="004153CE" w:rsidRDefault="004153CE" w:rsidP="001F696A">
      <w:pPr>
        <w:pStyle w:val="1"/>
      </w:pPr>
      <w:bookmarkStart w:id="29" w:name="_Toc430947234"/>
      <w:bookmarkStart w:id="30" w:name="_Toc465927688"/>
      <w:r w:rsidRPr="00416BF2">
        <w:t xml:space="preserve">4. </w:t>
      </w:r>
      <w:r w:rsidRPr="004F7733">
        <w:t>Инвестици</w:t>
      </w:r>
      <w:r w:rsidR="00AE45B6">
        <w:t>и</w:t>
      </w:r>
      <w:r w:rsidR="00421F98">
        <w:t xml:space="preserve">, </w:t>
      </w:r>
      <w:r w:rsidRPr="004F7733">
        <w:t>строительство</w:t>
      </w:r>
      <w:bookmarkEnd w:id="29"/>
      <w:r w:rsidR="00421F98">
        <w:t xml:space="preserve"> и градостроительная политика</w:t>
      </w:r>
      <w:bookmarkEnd w:id="30"/>
    </w:p>
    <w:p w:rsidR="001F696A" w:rsidRPr="001F696A" w:rsidRDefault="001F696A" w:rsidP="001F696A"/>
    <w:p w:rsidR="00735E58" w:rsidRPr="00DB204D" w:rsidRDefault="00735E58" w:rsidP="00735E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инвестиций в основной капитал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 городского округа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всех источников финансирования в 2015 году составил 14 635,41 </w:t>
      </w:r>
      <w:proofErr w:type="gramStart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что ниже уровня 2014 года на 2,9 %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действующих ценах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Индекс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физического объема инвестиций в основной капитал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85,97 %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2014 года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5E58" w:rsidRPr="00DB204D" w:rsidRDefault="00735E58" w:rsidP="00735E58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инвестиций в основной капитал (без субъектов малого предпринимательства и объемов инвестиций, не наблюдаемых прямыми статистическими методами (далее - инвестиции крупных и средних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2015 году составил 9 144,7 </w:t>
      </w:r>
      <w:proofErr w:type="gramStart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что в действующих ценах ниже уровня 2014 года на 13,3 %. Индекс физического объема инвестиций в основной капитал </w:t>
      </w:r>
      <w:r w:rsidRPr="00FF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86,7 %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2014 году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5E58" w:rsidRPr="00DB204D" w:rsidRDefault="00CA28B4" w:rsidP="00735E58">
      <w:pPr>
        <w:spacing w:after="0"/>
        <w:ind w:left="-113" w:firstLine="82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DB93605" wp14:editId="055A39D5">
            <wp:simplePos x="0" y="0"/>
            <wp:positionH relativeFrom="margin">
              <wp:posOffset>-36830</wp:posOffset>
            </wp:positionH>
            <wp:positionV relativeFrom="margin">
              <wp:posOffset>2668270</wp:posOffset>
            </wp:positionV>
            <wp:extent cx="2967355" cy="2708275"/>
            <wp:effectExtent l="57150" t="57150" r="42545" b="53975"/>
            <wp:wrapSquare wrapText="bothSides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Источником финансирования инвестиций </w:t>
      </w:r>
      <w:r w:rsidR="00735E58" w:rsidRPr="00FF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крупных и средних организаций в 2015 году являлись привлеченные средства </w:t>
      </w:r>
      <w:r w:rsidR="00735E5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5E58" w:rsidRPr="00FF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47,6 % общего объема инвестиций, бюджетные средства составили 91,6 % объема привлеченных средств</w:t>
      </w:r>
      <w:r w:rsidR="00D30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(рис. 4.1.)</w:t>
      </w:r>
      <w:r w:rsidR="00735E58" w:rsidRPr="00FF6D0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Собственные средства составили 52,4 %</w:t>
      </w:r>
      <w:r w:rsidR="00735E58" w:rsidRPr="0001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объема инвестиций крупных и средних организаций.</w:t>
      </w:r>
      <w:r w:rsidR="00735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E58"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инвестиций в основной капитал по источникам финансирования в сравнении с 2014 годом наблюдалось:</w:t>
      </w:r>
    </w:p>
    <w:p w:rsidR="00735E58" w:rsidRPr="00DB204D" w:rsidRDefault="00735E58" w:rsidP="00735E58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снижение объемов бюджетных инвестиций на 1 253,1 </w:t>
      </w:r>
      <w:proofErr w:type="gramStart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банковского кредитования на 6,1 млн рублей; </w:t>
      </w:r>
    </w:p>
    <w:p w:rsidR="00CA28B4" w:rsidRDefault="00735E58" w:rsidP="00CA28B4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объема инвестиций за счет собственных средств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627,7 </w:t>
      </w:r>
      <w:proofErr w:type="gramStart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CA28B4" w:rsidRPr="00DB204D" w:rsidRDefault="00CA28B4" w:rsidP="00CA28B4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видам экономической деятельности н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аибольший объем инвестиций в основной капитал вложено в транспорт и связь (1 644,02 </w:t>
      </w:r>
      <w:proofErr w:type="gramStart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рублей), рыболовство, рыбоводство (1 572,72 млн рублей), в добычу полезных ископаемых (1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 рублей), в операции с недвижимым имуществом, арендой и предоставлением услуг (973,97 млн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в производство и распределение электроэнергии, газа и воды (913,48 </w:t>
      </w:r>
      <w:proofErr w:type="gramStart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</w:t>
      </w:r>
      <w:r w:rsidR="00D0696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2.)</w:t>
      </w:r>
      <w:r w:rsidR="00D06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45B6" w:rsidRDefault="00AE45B6" w:rsidP="00D303B5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5E58" w:rsidRDefault="0003528F" w:rsidP="00735E58">
      <w:pPr>
        <w:spacing w:after="0"/>
        <w:ind w:left="-113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19CE431" wp14:editId="4AEAF6BB">
            <wp:extent cx="4802505" cy="2533650"/>
            <wp:effectExtent l="0" t="0" r="0" b="0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35E58" w:rsidRPr="00CA28B4" w:rsidRDefault="00CA28B4" w:rsidP="00D303B5">
      <w:pPr>
        <w:spacing w:after="0"/>
        <w:ind w:left="-11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A28B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Рис.4.</w:t>
      </w:r>
      <w:r w:rsidR="00735E58" w:rsidRPr="00CA28B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2. </w:t>
      </w:r>
      <w:r w:rsidR="00735E58" w:rsidRPr="00CA28B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Распределение инвестиций по основным видам</w:t>
      </w:r>
    </w:p>
    <w:p w:rsidR="00735E58" w:rsidRPr="00CA28B4" w:rsidRDefault="00735E58" w:rsidP="00D06962">
      <w:pPr>
        <w:ind w:left="-11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A28B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экономической деятельности, </w:t>
      </w:r>
      <w:proofErr w:type="gramStart"/>
      <w:r w:rsidR="00D303B5" w:rsidRPr="00CA28B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в</w:t>
      </w:r>
      <w:proofErr w:type="gramEnd"/>
      <w:r w:rsidR="00D303B5" w:rsidRPr="00CA28B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</w:t>
      </w:r>
      <w:r w:rsidRPr="00CA28B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%</w:t>
      </w:r>
      <w:r w:rsidR="00D303B5" w:rsidRPr="00CA28B4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от общего объема инвестиций</w:t>
      </w:r>
    </w:p>
    <w:p w:rsidR="0003528F" w:rsidRPr="005838AA" w:rsidRDefault="0003528F" w:rsidP="0003528F">
      <w:pPr>
        <w:spacing w:after="60"/>
        <w:rPr>
          <w:rFonts w:ascii="Times New Roman" w:eastAsia="Calibri" w:hAnsi="Times New Roman" w:cs="Times New Roman"/>
          <w:sz w:val="28"/>
          <w:szCs w:val="28"/>
        </w:rPr>
      </w:pPr>
      <w:r w:rsidRPr="000767D7">
        <w:rPr>
          <w:rFonts w:ascii="Times New Roman" w:eastAsia="Calibri" w:hAnsi="Times New Roman" w:cs="Times New Roman"/>
          <w:sz w:val="28"/>
          <w:szCs w:val="28"/>
        </w:rPr>
        <w:lastRenderedPageBreak/>
        <w:t>Положительная динамика инвестиций сложилась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67D7">
        <w:rPr>
          <w:rFonts w:ascii="Times New Roman" w:eastAsia="Calibri" w:hAnsi="Times New Roman" w:cs="Times New Roman"/>
          <w:sz w:val="28"/>
          <w:szCs w:val="28"/>
        </w:rPr>
        <w:t>в здравоохранени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и предоставлении социальных услуг (169,2 %), в </w:t>
      </w:r>
      <w:r w:rsidRPr="00680C96">
        <w:rPr>
          <w:rFonts w:ascii="Times New Roman" w:eastAsia="Calibri" w:hAnsi="Times New Roman" w:cs="Times New Roman"/>
          <w:sz w:val="28"/>
          <w:szCs w:val="28"/>
        </w:rPr>
        <w:t>рыболовств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8C1FE3">
        <w:rPr>
          <w:rFonts w:ascii="Times New Roman" w:eastAsia="Calibri" w:hAnsi="Times New Roman" w:cs="Times New Roman"/>
          <w:sz w:val="28"/>
          <w:szCs w:val="28"/>
        </w:rPr>
        <w:t>, рыбоводств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е (142,0 %), сфере предоставления прочих коммунальных, социальных и </w:t>
      </w:r>
      <w:r w:rsidRPr="005838AA">
        <w:rPr>
          <w:rFonts w:ascii="Times New Roman" w:eastAsia="Calibri" w:hAnsi="Times New Roman" w:cs="Times New Roman"/>
          <w:sz w:val="28"/>
          <w:szCs w:val="28"/>
        </w:rPr>
        <w:t>персональных услуг (124,8 %), в образовании (123,4 %).</w:t>
      </w:r>
    </w:p>
    <w:p w:rsidR="00CA28B4" w:rsidRDefault="00CA28B4" w:rsidP="00CA28B4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инвестиций в основной капитал, направленный на реализацию инвестиционных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бюджета городского округа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2015 году составил 1 263,9 </w:t>
      </w:r>
      <w:proofErr w:type="gramStart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(95,9 % к уровню 2014 года), в том числе за счет средств федерального бюджета - 206,7 млн рублей, краевого бюджета Камчатского - 893,4 млн рублей, бюджета городского округа - 163,7 млн рублей.</w:t>
      </w:r>
    </w:p>
    <w:p w:rsidR="00D303B5" w:rsidRDefault="0003528F" w:rsidP="000352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5CB1">
        <w:rPr>
          <w:rFonts w:ascii="Times New Roman" w:hAnsi="Times New Roman" w:cs="Times New Roman"/>
          <w:sz w:val="28"/>
          <w:szCs w:val="28"/>
        </w:rPr>
        <w:t>В условиях неблагоприятной внешнеэкономической конъюнктуры, сохранения достаточно жестких условий заимствования капитала и общей неуверенности инвесторов, ожидается, что динамика инвестиций в основной капитал в городском округе в 2016 году останется в отрицательных значениях.</w:t>
      </w:r>
    </w:p>
    <w:p w:rsidR="0003528F" w:rsidRDefault="0003528F" w:rsidP="000352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5CB1">
        <w:rPr>
          <w:rFonts w:ascii="Times New Roman" w:hAnsi="Times New Roman" w:cs="Times New Roman"/>
          <w:sz w:val="28"/>
          <w:szCs w:val="28"/>
        </w:rPr>
        <w:t>По оценке, объем инвестиций в основной капитал по полному кругу организаций за счет всех источников финансирования в 2016 году составит</w:t>
      </w:r>
      <w:r w:rsidR="00D303B5">
        <w:rPr>
          <w:rFonts w:ascii="Times New Roman" w:hAnsi="Times New Roman" w:cs="Times New Roman"/>
          <w:sz w:val="28"/>
          <w:szCs w:val="28"/>
        </w:rPr>
        <w:t xml:space="preserve">       </w:t>
      </w:r>
      <w:r w:rsidRPr="00945CB1">
        <w:rPr>
          <w:rFonts w:ascii="Times New Roman" w:hAnsi="Times New Roman" w:cs="Times New Roman"/>
          <w:sz w:val="28"/>
          <w:szCs w:val="28"/>
        </w:rPr>
        <w:t xml:space="preserve"> 15 051,72 </w:t>
      </w:r>
      <w:proofErr w:type="gramStart"/>
      <w:r w:rsidRPr="00945CB1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945CB1">
        <w:rPr>
          <w:rFonts w:ascii="Times New Roman" w:hAnsi="Times New Roman" w:cs="Times New Roman"/>
          <w:sz w:val="28"/>
          <w:szCs w:val="28"/>
        </w:rPr>
        <w:t xml:space="preserve"> рублей, при индексе физического объема 94,18 % к 2015 году, в том числе инвестиции в основной капитал крупных и средних организаций оцениваются на уровне 95,84 % (</w:t>
      </w:r>
      <w:r w:rsidRPr="00945C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9 570,60 </w:t>
      </w:r>
      <w:r w:rsidRPr="00945CB1">
        <w:rPr>
          <w:rFonts w:ascii="Times New Roman" w:eastAsia="Calibri" w:hAnsi="Times New Roman" w:cs="Times New Roman"/>
          <w:bCs/>
          <w:sz w:val="28"/>
          <w:szCs w:val="28"/>
        </w:rPr>
        <w:t>млн рублей</w:t>
      </w:r>
      <w:r w:rsidR="00D303B5">
        <w:rPr>
          <w:rFonts w:ascii="Times New Roman" w:hAnsi="Times New Roman" w:cs="Times New Roman"/>
          <w:sz w:val="28"/>
          <w:szCs w:val="28"/>
        </w:rPr>
        <w:t>) к 2015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3CE0" w:rsidRPr="003F3CE0" w:rsidRDefault="003F3CE0" w:rsidP="000732D4">
      <w:pPr>
        <w:widowControl w:val="0"/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тоже время возможны риски достижения запланированных объемов инвестиций, связанные с текущей экономической ситуацией в стране. Это </w:t>
      </w:r>
      <w:proofErr w:type="gramStart"/>
      <w:r w:rsidRPr="003F3CE0">
        <w:rPr>
          <w:rFonts w:ascii="Times New Roman" w:eastAsia="Times New Roman" w:hAnsi="Times New Roman" w:cs="Times New Roman"/>
          <w:sz w:val="28"/>
          <w:szCs w:val="28"/>
          <w:lang w:eastAsia="ru-RU"/>
        </w:rPr>
        <w:t>–с</w:t>
      </w:r>
      <w:proofErr w:type="gramEnd"/>
      <w:r w:rsidRPr="003F3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ложность привлечения заемных средств, </w:t>
      </w:r>
      <w:r w:rsidR="00CD708A" w:rsidRPr="000732D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</w:t>
      </w:r>
      <w:r w:rsidRPr="003F3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08A" w:rsidRPr="00073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</w:t>
      </w:r>
      <w:r w:rsidRPr="003F3CE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на инвестирование</w:t>
      </w:r>
      <w:r w:rsidR="00CD708A" w:rsidRPr="00073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732D4" w:rsidRPr="000732D4">
        <w:rPr>
          <w:rFonts w:ascii="Times New Roman" w:hAnsi="Times New Roman" w:cs="Times New Roman"/>
          <w:sz w:val="28"/>
          <w:szCs w:val="28"/>
        </w:rPr>
        <w:t>что повлекло снижение инвестиционной активности ряда организаций городского округа и оптимизацию реализуемых ими инвестиционных программ</w:t>
      </w:r>
      <w:r w:rsidRPr="003F3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7762" w:rsidRPr="00627762" w:rsidRDefault="00627762" w:rsidP="00AE45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7762">
        <w:rPr>
          <w:rFonts w:ascii="Times New Roman" w:hAnsi="Times New Roman" w:cs="Times New Roman"/>
          <w:sz w:val="28"/>
          <w:szCs w:val="28"/>
          <w:lang w:eastAsia="ru-RU"/>
        </w:rPr>
        <w:t xml:space="preserve">С целью стимулирования инвестиционной активности организаций городского округа и </w:t>
      </w:r>
      <w:r w:rsidRPr="006277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привлечения инвесторов на территорию городского округа начато внедрение успешных практик, направленных на создание благоприятного инвестиционного и делового климата и развитие предпринимательства в рамках реализации «Атласа муниципальных практик», представленных автономной некоммерческой организацией «Агентство стратегических инициатив по продвижению новых проектов».</w:t>
      </w:r>
      <w:proofErr w:type="gramEnd"/>
      <w:r w:rsidRPr="00627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городского округа принято решение о внедрении 17 успешных практик на территории городского округа.</w:t>
      </w:r>
    </w:p>
    <w:p w:rsidR="00627762" w:rsidRPr="00627762" w:rsidRDefault="00627762" w:rsidP="00AE45B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77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данный момент в этом направлении разработан и размещен в открытом доступе инвестиционный паспорт городского округа; принят комплекс нормативных актов, устанавливающих основные направления инвестиционной политики и развития малого и среднего предпринимательства; внедрена система оценки регулирующего воздействия проектов муниципальных нормативных правовых актов; при Главе городского округа создан общественный совет по улучшению инвестиционного климата и развитию предпринимательства;</w:t>
      </w:r>
      <w:proofErr w:type="gramEnd"/>
      <w:r w:rsidRPr="00627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приняты обоснованные ставки земельного налога и арендной платы за земельные участки; внедрено ежегодное инвестиционное послание Главы городского округа с принятием инвестиционной декларации, разработана «дорожная карта» по внедрению успешных практик на территории городского округа.</w:t>
      </w:r>
    </w:p>
    <w:p w:rsidR="00627762" w:rsidRPr="00627762" w:rsidRDefault="00627762" w:rsidP="00627762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2016 году на сопровождении администрации городского округа находится 7 инвестиционных проектов:</w:t>
      </w:r>
    </w:p>
    <w:p w:rsidR="00627762" w:rsidRPr="00627762" w:rsidRDefault="00627762" w:rsidP="00627762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создание комплекса по переработке отходов битум содержащих кровельных материалов, с выпуском новых кровельных материалов, стандартного битумного сырья и связанных с ним товарных продуктов в цепи </w:t>
      </w:r>
      <w:proofErr w:type="spellStart"/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 w:rsidR="001F6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</w:t>
      </w: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клинга</w:t>
      </w:r>
      <w:proofErr w:type="spellEnd"/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27762" w:rsidRPr="00627762" w:rsidRDefault="00627762" w:rsidP="00627762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строительство современного высокотехнологического </w:t>
      </w:r>
      <w:r w:rsidR="0007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омбината по утилизации и переработке твердых бытовых отходов;</w:t>
      </w:r>
    </w:p>
    <w:p w:rsidR="00627762" w:rsidRPr="00627762" w:rsidRDefault="00627762" w:rsidP="00627762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строительство здания сельскохозяйственного рынка;</w:t>
      </w:r>
    </w:p>
    <w:p w:rsidR="00627762" w:rsidRPr="00627762" w:rsidRDefault="00627762" w:rsidP="00627762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создание на берегу природного </w:t>
      </w:r>
      <w:proofErr w:type="spellStart"/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Култучного</w:t>
      </w:r>
      <w:proofErr w:type="spellEnd"/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озера зоны отдыха с ресторанным комплексом;</w:t>
      </w:r>
    </w:p>
    <w:p w:rsidR="00627762" w:rsidRPr="00627762" w:rsidRDefault="00627762" w:rsidP="00627762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туристического комплекса «Петровская сопка»;</w:t>
      </w:r>
    </w:p>
    <w:p w:rsidR="00627762" w:rsidRPr="00627762" w:rsidRDefault="00627762" w:rsidP="00627762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создание производственного комплекса по изготовлению строительных изделий методом </w:t>
      </w:r>
      <w:proofErr w:type="spellStart"/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гиперпрессования</w:t>
      </w:r>
      <w:proofErr w:type="spellEnd"/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27762" w:rsidRPr="00627762" w:rsidRDefault="00627762" w:rsidP="00132A08">
      <w:pPr>
        <w:spacing w:after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производства комплектов панельно-каркасных (канадских) домов. </w:t>
      </w:r>
    </w:p>
    <w:p w:rsidR="00627762" w:rsidRDefault="00627762" w:rsidP="00627762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среднесрочном периоде продолжится планомерная реализация мероприятий «дорожной карты» по следующим направлениям:</w:t>
      </w:r>
    </w:p>
    <w:p w:rsidR="000732D4" w:rsidRPr="00627762" w:rsidRDefault="000732D4" w:rsidP="00627762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732D4">
        <w:rPr>
          <w:rFonts w:ascii="Times New Roman" w:eastAsia="Calibri" w:hAnsi="Times New Roman" w:cs="Times New Roman"/>
          <w:sz w:val="28"/>
          <w:szCs w:val="28"/>
        </w:rPr>
        <w:t>нормативно-правовое, организационное, инфраструктурное и информационное обеспечение инвестиционной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627762" w:rsidRPr="00627762" w:rsidRDefault="00627762" w:rsidP="00627762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эффективности работы по оказанию муниципальных услуг, влияющих на осуществление предпринимательской деятельности (в сфере земельно-имущественных отношений, жилищно-коммунального хозяйства, строительства, архитектуры и градостроительства);</w:t>
      </w:r>
    </w:p>
    <w:p w:rsidR="00627762" w:rsidRPr="00627762" w:rsidRDefault="00627762" w:rsidP="00627762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утверждение </w:t>
      </w:r>
      <w:proofErr w:type="gramStart"/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стандарта качества предоставления муниципальных услуг</w:t>
      </w:r>
      <w:proofErr w:type="gramEnd"/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27762" w:rsidRPr="00627762" w:rsidRDefault="00627762" w:rsidP="00627762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17A0" w:rsidRPr="009517A0">
        <w:rPr>
          <w:rFonts w:ascii="Times New Roman" w:eastAsia="Calibri" w:hAnsi="Times New Roman" w:cs="Times New Roman"/>
          <w:sz w:val="28"/>
          <w:szCs w:val="28"/>
        </w:rPr>
        <w:t xml:space="preserve">внедрение механизмов </w:t>
      </w:r>
      <w:proofErr w:type="spellStart"/>
      <w:r w:rsidR="009517A0" w:rsidRPr="009517A0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proofErr w:type="spellEnd"/>
      <w:r w:rsidR="009517A0" w:rsidRPr="009517A0">
        <w:rPr>
          <w:rFonts w:ascii="Times New Roman" w:eastAsia="Calibri" w:hAnsi="Times New Roman" w:cs="Times New Roman"/>
          <w:sz w:val="28"/>
          <w:szCs w:val="28"/>
        </w:rPr>
        <w:t>-частного партнерства (МЧП)</w:t>
      </w:r>
      <w:r w:rsidR="009517A0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9517A0" w:rsidRPr="009517A0">
        <w:rPr>
          <w:rFonts w:eastAsia="Calibri"/>
          <w:sz w:val="28"/>
          <w:szCs w:val="28"/>
        </w:rPr>
        <w:t xml:space="preserve"> </w:t>
      </w: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вовлечение хозяйствующих субъектов в процессы создания и модернизации объектов общественной инфраструктуры на основе </w:t>
      </w:r>
      <w:r w:rsidR="00071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МЧП</w:t>
      </w: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рамках концессионных соглашений;</w:t>
      </w:r>
    </w:p>
    <w:p w:rsidR="00627762" w:rsidRDefault="00627762" w:rsidP="00627762">
      <w:pPr>
        <w:spacing w:after="0"/>
        <w:ind w:left="-11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выстраивание системы привлечения и поддержки инвесторов по принципу «одного окна»; </w:t>
      </w:r>
    </w:p>
    <w:p w:rsidR="00FA0384" w:rsidRPr="00627762" w:rsidRDefault="00FA0384" w:rsidP="00627762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</w:t>
      </w:r>
      <w:r w:rsidRPr="00FA038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ормирование системы управления земельно-имущественным комплексом, соответствующей инвестиционным приоритетам городского округа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;</w:t>
      </w:r>
    </w:p>
    <w:p w:rsidR="00627762" w:rsidRPr="00627762" w:rsidRDefault="00627762" w:rsidP="00627762">
      <w:pPr>
        <w:spacing w:after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создание промышленного парка «Дальний» и </w:t>
      </w:r>
      <w:proofErr w:type="gramStart"/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бизнес-инкубатора</w:t>
      </w:r>
      <w:proofErr w:type="gramEnd"/>
      <w:r w:rsidRPr="0062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городского округа для размещения объектов инвесторов и другие в соответствии с «дорожной картой». Территория промышленного парка «Дальний» позволит вместить до 40 резидентов, создать рабочие места для 200 человек.</w:t>
      </w:r>
    </w:p>
    <w:p w:rsidR="00627762" w:rsidRPr="007E54EB" w:rsidRDefault="00627762" w:rsidP="000732D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2017-2019 годах и в последующие годы мощным импульсом для привлечения инвестиций и социально-экономического развития городского округа станет</w:t>
      </w:r>
      <w:r w:rsidRPr="00DB204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E54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создание ТОСЭР «Камчатка» и реализация проекта «Свободный порт Владивосток» (далее - Свободный порт).</w:t>
      </w:r>
    </w:p>
    <w:p w:rsidR="0003528F" w:rsidRDefault="0003528F" w:rsidP="000732D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ТОСЭР «Камчатка» предусматривает развитие на территории городского округа портово-промышленной специализации. В рамках модернизации </w:t>
      </w:r>
      <w:proofErr w:type="gramStart"/>
      <w:r w:rsidRPr="0062776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Петропавловск-Камчатского</w:t>
      </w:r>
      <w:proofErr w:type="gramEnd"/>
      <w:r w:rsidRPr="000C7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 планируется увеличение его максимального грузооборота до 8 млн. тонн в год, а также развитие круизного туризма за счет строительства соответствующих причалов, морского вокзала и другой инфраструктуры.</w:t>
      </w:r>
    </w:p>
    <w:p w:rsidR="0003528F" w:rsidRPr="00AE45B6" w:rsidRDefault="0003528F" w:rsidP="00AE45B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0769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Туристский поток, образовавшийся в результате создания зоны приема круизных лайнеров, создаст значительные стимулы для формирования туристско-рекреационного кластера, использующего природный и культурный потенциал городского округа, его статус административного центра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50769D">
        <w:rPr>
          <w:rFonts w:ascii="Times New Roman" w:eastAsia="Calibri" w:hAnsi="Times New Roman" w:cs="Times New Roman"/>
          <w:sz w:val="28"/>
          <w:szCs w:val="28"/>
        </w:rPr>
        <w:t>амчатского края и Города Воинской Славы.</w:t>
      </w:r>
      <w:proofErr w:type="gramEnd"/>
      <w:r w:rsidR="006277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2AF7">
        <w:rPr>
          <w:rFonts w:ascii="Times New Roman" w:eastAsia="Calibri" w:hAnsi="Times New Roman" w:cs="Times New Roman"/>
          <w:sz w:val="28"/>
          <w:szCs w:val="28"/>
        </w:rPr>
        <w:t xml:space="preserve">Поэтому особое внимание уделяется проектам в сфере развития инфраструктуры туризма, </w:t>
      </w:r>
      <w:r w:rsidR="008748D1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3C2AF7">
        <w:rPr>
          <w:rFonts w:ascii="Times New Roman" w:eastAsia="Calibri" w:hAnsi="Times New Roman" w:cs="Times New Roman"/>
          <w:sz w:val="28"/>
          <w:szCs w:val="28"/>
        </w:rPr>
        <w:t xml:space="preserve">созданию зон </w:t>
      </w:r>
      <w:r w:rsidRPr="00AE45B6">
        <w:rPr>
          <w:rFonts w:ascii="Times New Roman" w:eastAsia="Calibri" w:hAnsi="Times New Roman" w:cs="Times New Roman"/>
          <w:sz w:val="28"/>
          <w:szCs w:val="28"/>
        </w:rPr>
        <w:t>активного отдыха для туристов и горожан.</w:t>
      </w:r>
    </w:p>
    <w:p w:rsidR="00627762" w:rsidRPr="00AE45B6" w:rsidRDefault="00627762" w:rsidP="00AE45B6">
      <w:pPr>
        <w:spacing w:after="0"/>
        <w:ind w:left="-113"/>
        <w:rPr>
          <w:rFonts w:ascii="Times New Roman" w:eastAsia="Times New Roman" w:hAnsi="Times New Roman" w:cs="Times New Roman"/>
          <w:color w:val="2B2622"/>
          <w:sz w:val="28"/>
          <w:szCs w:val="28"/>
          <w:lang w:eastAsia="ru-RU"/>
        </w:rPr>
      </w:pPr>
      <w:r w:rsidRPr="00AE4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роста грузооборота через порт </w:t>
      </w:r>
      <w:r w:rsidRPr="00AE45B6">
        <w:rPr>
          <w:rFonts w:ascii="Times New Roman" w:hAnsi="Times New Roman" w:cs="Times New Roman"/>
          <w:sz w:val="28"/>
          <w:szCs w:val="28"/>
        </w:rPr>
        <w:t>г. Петропавловск-Камчатский</w:t>
      </w:r>
      <w:r w:rsidRPr="00AE45B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наращивания внешнеторговых операций, привлечения новых инвестиций, создания новых производств и комплексного развития портовой инфраструктуры</w:t>
      </w:r>
      <w:r w:rsidRPr="00AE45B6">
        <w:rPr>
          <w:rFonts w:ascii="Times New Roman" w:hAnsi="Times New Roman" w:cs="Times New Roman"/>
          <w:sz w:val="28"/>
          <w:szCs w:val="28"/>
        </w:rPr>
        <w:t xml:space="preserve"> </w:t>
      </w:r>
      <w:r w:rsidRPr="00AE45B6">
        <w:rPr>
          <w:rFonts w:ascii="Times New Roman" w:eastAsia="Times New Roman" w:hAnsi="Times New Roman" w:cs="Times New Roman"/>
          <w:color w:val="2B2622"/>
          <w:sz w:val="28"/>
          <w:szCs w:val="28"/>
          <w:lang w:eastAsia="ru-RU"/>
        </w:rPr>
        <w:t>в границах Свободного порта установлен упрощенный визовый режим, введены особые меры поддержки предпринимательства, ряд льгот в обложении налогами.</w:t>
      </w:r>
    </w:p>
    <w:p w:rsidR="00AE45B6" w:rsidRPr="00AE45B6" w:rsidRDefault="00AE45B6" w:rsidP="00AE45B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CA0A4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Проектом </w:t>
      </w:r>
      <w:r w:rsidRPr="00AE45B6">
        <w:rPr>
          <w:rFonts w:ascii="Times New Roman" w:hAnsi="Times New Roman" w:cs="Times New Roman"/>
          <w:sz w:val="28"/>
          <w:szCs w:val="28"/>
        </w:rPr>
        <w:t>Решения Городской Думы Петропавловск-Камчатского городского округа «О внесении изменений в Решение Городской Думы Петропавловск-Камчатского городского округа от 18.11.2010 № 305-нд                        «О земельном налоге на территории Петропавловск-Камчатского городского округа» на территории городского округа предлагается установить налоговую ставку в размере 0 процентов в отношении земельных участков, принадлежащих резидентам свободного порта Владивосток и входящих в границы свободного порта Владивосток в течение 5 налоговых</w:t>
      </w:r>
      <w:proofErr w:type="gramEnd"/>
      <w:r w:rsidRPr="00AE45B6">
        <w:rPr>
          <w:rFonts w:ascii="Times New Roman" w:hAnsi="Times New Roman" w:cs="Times New Roman"/>
          <w:sz w:val="28"/>
          <w:szCs w:val="28"/>
        </w:rPr>
        <w:t xml:space="preserve"> периодов подряд, начиная с налогового периода, следующего за налоговым периодом, в котором присвоен статус резидента свободного порта</w:t>
      </w:r>
      <w:r w:rsidRPr="00AE45B6">
        <w:rPr>
          <w:sz w:val="28"/>
          <w:szCs w:val="28"/>
        </w:rPr>
        <w:t xml:space="preserve"> </w:t>
      </w:r>
      <w:r w:rsidRPr="00AE45B6">
        <w:rPr>
          <w:rFonts w:ascii="Times New Roman" w:hAnsi="Times New Roman" w:cs="Times New Roman"/>
          <w:sz w:val="28"/>
          <w:szCs w:val="28"/>
        </w:rPr>
        <w:t>Владивосток в соответствии с Федеральным законом от 13.07.2015 № 212-ФЗ «О свободном порте Владивосток</w:t>
      </w:r>
      <w:proofErr w:type="gramStart"/>
      <w:r w:rsidRPr="00AE45B6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821F91" w:rsidRPr="005F4CEB" w:rsidRDefault="00821F91" w:rsidP="00AE45B6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5B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Первыми в Свободный порт могут войти проекты по строительству гостиницы на улице Ленинградская (инвестор - компания «Витязь-</w:t>
      </w:r>
      <w:proofErr w:type="spellStart"/>
      <w:r w:rsidRPr="00AE45B6">
        <w:rPr>
          <w:rFonts w:ascii="Times New Roman" w:eastAsia="Times New Roman" w:hAnsi="Times New Roman" w:cs="Times New Roman"/>
          <w:sz w:val="28"/>
          <w:szCs w:val="28"/>
          <w:lang w:eastAsia="ru-RU"/>
        </w:rPr>
        <w:t>Аэро</w:t>
      </w:r>
      <w:proofErr w:type="spellEnd"/>
      <w:r w:rsidRPr="00AE45B6">
        <w:rPr>
          <w:rFonts w:ascii="Times New Roman" w:eastAsia="Times New Roman" w:hAnsi="Times New Roman" w:cs="Times New Roman"/>
          <w:sz w:val="28"/>
          <w:szCs w:val="28"/>
          <w:lang w:eastAsia="ru-RU"/>
        </w:rPr>
        <w:t>»), грузового терминала</w:t>
      </w:r>
      <w:r w:rsidRPr="00AE45B6">
        <w:rPr>
          <w:rFonts w:ascii="Times New Roman" w:eastAsia="Times New Roman" w:hAnsi="Times New Roman" w:cs="Times New Roman"/>
          <w:sz w:val="36"/>
          <w:szCs w:val="28"/>
          <w:lang w:eastAsia="ru-RU"/>
        </w:rPr>
        <w:t xml:space="preserve"> </w:t>
      </w:r>
      <w:r w:rsidRPr="005F4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приемки и отправки контейнерных и составных грузов в районе пос. Сероглазка (АО «Ямсы»), комплекса по хранению и складированию нефтепродуктов в районе Моховой (ООО «Морской Стандарт-Бункер»).</w:t>
      </w:r>
    </w:p>
    <w:p w:rsidR="00821F91" w:rsidRDefault="00821F91" w:rsidP="00821F91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F4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на 2017-2019 годы разработан с учетом сложившихся </w:t>
      </w:r>
      <w:r w:rsidRPr="00876B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неблагоприятных </w:t>
      </w:r>
      <w:r w:rsidRPr="005F4CEB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внутренних и внешних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условий, влияющих на инвестиционную деятельность городского округа - низкая</w:t>
      </w:r>
      <w:r w:rsidRPr="00C06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инвестиционная активность хозяйствующих субъектов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городского округа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, в том числе по причине высокой стоимости кредитных ресурсов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неуверенность инвесторов, </w:t>
      </w:r>
      <w:r w:rsidRPr="00C0635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6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рынков, сложивши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еся</w:t>
      </w:r>
      <w:r w:rsidRPr="00C06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из-за введенных в отношении Российской Федерации экономических санкци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й.</w:t>
      </w:r>
      <w:proofErr w:type="gramEnd"/>
    </w:p>
    <w:p w:rsidR="00821F91" w:rsidRPr="00DB204D" w:rsidRDefault="00821F91" w:rsidP="00821F91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Динамику инвестиций в основной капитал в городском округе в 2017-2019 годах будет определять возможность постепенного наращивания частных инвестиций в рамках реализации мероприятий по созданию инфраструктуры на ТОСЭР «Камчатка» и проекта </w:t>
      </w:r>
      <w:r w:rsidRPr="006B4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Свободный порт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утвержденными планами и последующей реализацией заявленных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резидентами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инвестиционных проектов.</w:t>
      </w:r>
    </w:p>
    <w:p w:rsidR="00821F91" w:rsidRPr="00DB204D" w:rsidRDefault="00821F91" w:rsidP="00821F91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вариант 1 Прогноза учитывает реализацию инвестиционных проектов резидентов ТО</w:t>
      </w:r>
      <w:r w:rsidR="00071338">
        <w:rPr>
          <w:rFonts w:ascii="Times New Roman" w:eastAsia="Times New Roman" w:hAnsi="Times New Roman" w:cs="Times New Roman"/>
          <w:sz w:val="28"/>
          <w:szCs w:val="28"/>
          <w:lang w:eastAsia="ru-RU"/>
        </w:rPr>
        <w:t>СЭ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«Камчатка» и проекта «Свободный порт Владивосток» более замедленными темпами. По варианту 2 Прогноза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планируется более оптимистическая динамика, учитывающая финансирование мероприятий заявленных резидентами проектов.</w:t>
      </w:r>
    </w:p>
    <w:p w:rsidR="00821F91" w:rsidRPr="00DB204D" w:rsidRDefault="00821F91" w:rsidP="00821F91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варианту 1 Прогноза прогнозируется постепенный прирост объема инвестиций крупных и средних предприятий: в 2017 году индекс физического объема прогнозируется на уровне 99,18 % к уровню 2016 года, в 2018 году - 100,36 % к уровню 2017 года, в 2019 году - 100,29 % к уровню 2018 года. </w:t>
      </w:r>
    </w:p>
    <w:p w:rsidR="0003528F" w:rsidRDefault="0003528F" w:rsidP="001B72AD">
      <w:pPr>
        <w:pStyle w:val="Standard"/>
        <w:spacing w:after="60"/>
      </w:pPr>
      <w:r w:rsidRPr="0023521A">
        <w:rPr>
          <w:rFonts w:ascii="Times New Roman" w:eastAsia="Calibri" w:hAnsi="Times New Roman" w:cs="Times New Roman"/>
          <w:bCs/>
          <w:sz w:val="28"/>
          <w:szCs w:val="28"/>
        </w:rPr>
        <w:t>Финансовым ресурсом восстановления инвестиционной активности прогнозируется рост прибыли организаций в условиях стабилизации оттока капитала, а также частные инвестиционные вложения в реализацию инвестиционных проектов резидентов ТОСЭР «Камчатка» и Свободного порта, а также бюджетные вложения в объекты федеральной, региональной и муниципальной собственности.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03528F" w:rsidRDefault="0003528F" w:rsidP="0003528F">
      <w:pPr>
        <w:spacing w:after="60"/>
        <w:jc w:val="center"/>
        <w:rPr>
          <w:rFonts w:ascii="Times New Roman" w:eastAsia="Calibri" w:hAnsi="Times New Roman" w:cs="Times New Roman"/>
          <w:i/>
        </w:rPr>
      </w:pPr>
      <w:r>
        <w:rPr>
          <w:noProof/>
          <w:lang w:eastAsia="ru-RU"/>
        </w:rPr>
        <w:drawing>
          <wp:inline distT="0" distB="0" distL="0" distR="0" wp14:anchorId="0454F8D3" wp14:editId="4ADA79F0">
            <wp:extent cx="4723074" cy="2862470"/>
            <wp:effectExtent l="0" t="0" r="1905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3528F" w:rsidRPr="00FB40B3" w:rsidRDefault="0003528F" w:rsidP="0003528F">
      <w:pPr>
        <w:spacing w:after="60"/>
        <w:jc w:val="center"/>
        <w:rPr>
          <w:rFonts w:ascii="Times New Roman" w:eastAsia="Calibri" w:hAnsi="Times New Roman" w:cs="Times New Roman"/>
          <w:bCs/>
          <w:i/>
        </w:rPr>
      </w:pPr>
      <w:r w:rsidRPr="00FB40B3">
        <w:rPr>
          <w:rFonts w:ascii="Times New Roman" w:eastAsia="Calibri" w:hAnsi="Times New Roman" w:cs="Times New Roman"/>
          <w:i/>
        </w:rPr>
        <w:t>Рис.4.1.</w:t>
      </w:r>
      <w:r>
        <w:rPr>
          <w:rFonts w:ascii="Times New Roman" w:eastAsia="Calibri" w:hAnsi="Times New Roman" w:cs="Times New Roman"/>
          <w:i/>
        </w:rPr>
        <w:t>3</w:t>
      </w:r>
      <w:r w:rsidRPr="00FB40B3">
        <w:rPr>
          <w:rFonts w:ascii="Times New Roman" w:eastAsia="Calibri" w:hAnsi="Times New Roman" w:cs="Times New Roman"/>
          <w:i/>
        </w:rPr>
        <w:t xml:space="preserve">. </w:t>
      </w:r>
      <w:r w:rsidRPr="00FB40B3">
        <w:rPr>
          <w:rFonts w:ascii="Times New Roman" w:eastAsia="+mn-ea" w:hAnsi="Times New Roman" w:cs="Times New Roman"/>
          <w:bCs/>
          <w:i/>
          <w:lang w:eastAsia="ru-RU"/>
        </w:rPr>
        <w:t>Прогноз и</w:t>
      </w:r>
      <w:r w:rsidRPr="00FB40B3">
        <w:rPr>
          <w:rFonts w:ascii="Times New Roman" w:eastAsia="Calibri" w:hAnsi="Times New Roman" w:cs="Times New Roman"/>
          <w:bCs/>
          <w:i/>
        </w:rPr>
        <w:t xml:space="preserve">нвестиций в основной капитал </w:t>
      </w:r>
      <w:r>
        <w:rPr>
          <w:rFonts w:ascii="Times New Roman" w:eastAsia="Calibri" w:hAnsi="Times New Roman" w:cs="Times New Roman"/>
          <w:bCs/>
          <w:i/>
        </w:rPr>
        <w:t xml:space="preserve">крупных и средних </w:t>
      </w:r>
      <w:r w:rsidRPr="00FB40B3">
        <w:rPr>
          <w:rFonts w:ascii="Times New Roman" w:eastAsia="Calibri" w:hAnsi="Times New Roman" w:cs="Times New Roman"/>
          <w:bCs/>
          <w:i/>
        </w:rPr>
        <w:t>организаций городского округа на период 2017-2019 годы</w:t>
      </w:r>
      <w:r>
        <w:rPr>
          <w:rFonts w:ascii="Times New Roman" w:eastAsia="Calibri" w:hAnsi="Times New Roman" w:cs="Times New Roman"/>
          <w:bCs/>
          <w:i/>
        </w:rPr>
        <w:t>.</w:t>
      </w:r>
    </w:p>
    <w:p w:rsidR="0003528F" w:rsidRDefault="0003528F" w:rsidP="0003528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Согласно </w:t>
      </w:r>
      <w:r w:rsidRPr="00DC0D12">
        <w:rPr>
          <w:rFonts w:ascii="Times New Roman" w:eastAsia="Calibri" w:hAnsi="Times New Roman" w:cs="Times New Roman"/>
          <w:bCs/>
          <w:sz w:val="28"/>
          <w:szCs w:val="28"/>
        </w:rPr>
        <w:t xml:space="preserve">варианту </w:t>
      </w:r>
      <w:r>
        <w:rPr>
          <w:rFonts w:ascii="Times New Roman" w:eastAsia="Calibri" w:hAnsi="Times New Roman" w:cs="Times New Roman"/>
          <w:bCs/>
          <w:sz w:val="28"/>
          <w:szCs w:val="28"/>
        </w:rPr>
        <w:t>2 П</w:t>
      </w:r>
      <w:r w:rsidRPr="00DC0D12">
        <w:rPr>
          <w:rFonts w:ascii="Times New Roman" w:eastAsia="Calibri" w:hAnsi="Times New Roman" w:cs="Times New Roman"/>
          <w:bCs/>
          <w:sz w:val="28"/>
          <w:szCs w:val="28"/>
        </w:rPr>
        <w:t>рогноза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 2017 году прогнозируется темп роста 113,9 % к 2016 году, в 2018 году – 102,52 % к уровню 2017 года, в 2019 году - 102,59 % к уровню 2018 года. </w:t>
      </w:r>
    </w:p>
    <w:p w:rsidR="0008470B" w:rsidRPr="00051C68" w:rsidRDefault="00941469" w:rsidP="0008470B">
      <w:pPr>
        <w:autoSpaceDE w:val="0"/>
        <w:autoSpaceDN w:val="0"/>
        <w:adjustRightInd w:val="0"/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двум вариантам Прогноза учитывалась реализация мероприятий государственных и муниципальных программ на территории городского округа. В среднесрочном периоде, с учетом выделяемого бюджетного финансирования, приоритетными направлениями </w:t>
      </w:r>
      <w:proofErr w:type="gramStart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вложения инвестиций</w:t>
      </w:r>
      <w:proofErr w:type="gramEnd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городского округа останутся: транспорт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дорог местного 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социальная сфера (объекты образования, культуры, спорта, здравоохранения), </w:t>
      </w:r>
      <w:r w:rsidR="000847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коммунальное инфраструктура,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жилищное строительство</w:t>
      </w:r>
      <w:r w:rsidR="0008470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8470B" w:rsidRPr="0008470B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  <w:r w:rsidR="0008470B" w:rsidRPr="00051C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инфраструктуры для развития туризма</w:t>
      </w:r>
      <w:r w:rsidR="0008470B" w:rsidRPr="00084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(частные инвестиции)</w:t>
      </w:r>
      <w:r w:rsidR="0008470B" w:rsidRPr="00051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3528F" w:rsidRPr="00CA0A4D" w:rsidRDefault="0003528F" w:rsidP="00CA0A4D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3521A">
        <w:rPr>
          <w:rFonts w:ascii="Times New Roman" w:hAnsi="Times New Roman" w:cs="Times New Roman"/>
          <w:sz w:val="28"/>
          <w:szCs w:val="28"/>
        </w:rPr>
        <w:t>В сфере развития</w:t>
      </w:r>
      <w:r w:rsidRPr="004D3D61">
        <w:rPr>
          <w:rFonts w:ascii="Times New Roman" w:hAnsi="Times New Roman" w:cs="Times New Roman"/>
          <w:sz w:val="28"/>
          <w:szCs w:val="28"/>
        </w:rPr>
        <w:t xml:space="preserve"> транспортной системы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продолжится </w:t>
      </w:r>
      <w:r w:rsidRPr="004D3D61">
        <w:rPr>
          <w:rFonts w:ascii="Times New Roman" w:hAnsi="Times New Roman" w:cs="Times New Roman"/>
          <w:sz w:val="28"/>
          <w:szCs w:val="28"/>
        </w:rPr>
        <w:t xml:space="preserve">модернизация и строительство автомобильных дорог местного значения.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3137F">
        <w:rPr>
          <w:rFonts w:ascii="Times New Roman" w:hAnsi="Times New Roman" w:cs="Times New Roman"/>
          <w:sz w:val="28"/>
          <w:szCs w:val="28"/>
        </w:rPr>
        <w:t xml:space="preserve">ланируется </w:t>
      </w:r>
      <w:r w:rsidRPr="00F72EBA">
        <w:rPr>
          <w:rFonts w:ascii="Times New Roman" w:eastAsia="Calibri" w:hAnsi="Times New Roman" w:cs="Times New Roman"/>
          <w:sz w:val="28"/>
          <w:szCs w:val="28"/>
        </w:rPr>
        <w:t xml:space="preserve">строительство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7 </w:t>
      </w:r>
      <w:r w:rsidRPr="00F72EBA">
        <w:rPr>
          <w:rFonts w:ascii="Times New Roman" w:eastAsia="Calibri" w:hAnsi="Times New Roman" w:cs="Times New Roman"/>
          <w:sz w:val="28"/>
          <w:szCs w:val="28"/>
        </w:rPr>
        <w:t xml:space="preserve">автомобильных дорог общегородского и </w:t>
      </w:r>
      <w:r w:rsidRPr="0003528F">
        <w:rPr>
          <w:rFonts w:ascii="Times New Roman" w:eastAsia="Calibri" w:hAnsi="Times New Roman" w:cs="Times New Roman"/>
          <w:sz w:val="28"/>
          <w:szCs w:val="28"/>
        </w:rPr>
        <w:t xml:space="preserve">районного значения общей </w:t>
      </w:r>
      <w:r w:rsidRPr="0003528F">
        <w:rPr>
          <w:rFonts w:ascii="Times New Roman" w:hAnsi="Times New Roman" w:cs="Times New Roman"/>
          <w:sz w:val="28"/>
          <w:szCs w:val="28"/>
        </w:rPr>
        <w:t xml:space="preserve">протяженностью </w:t>
      </w:r>
      <w:r w:rsidRPr="00CA0A4D">
        <w:rPr>
          <w:rFonts w:ascii="Times New Roman" w:hAnsi="Times New Roman" w:cs="Times New Roman"/>
          <w:sz w:val="28"/>
          <w:szCs w:val="28"/>
        </w:rPr>
        <w:t>19,243 км.</w:t>
      </w:r>
    </w:p>
    <w:p w:rsidR="0003528F" w:rsidRPr="0003528F" w:rsidRDefault="0003528F" w:rsidP="00CA0A4D">
      <w:pPr>
        <w:shd w:val="clear" w:color="auto" w:fill="FFFFFF" w:themeFill="background1"/>
        <w:spacing w:after="0"/>
        <w:ind w:firstLine="533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03528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 от поста ГАИ до ул. Академика Королева с развязкой в микрорайоне Северо-Восток (участок дороги от ул. Ларина до ул. Академика Королева);</w:t>
      </w:r>
    </w:p>
    <w:p w:rsidR="0003528F" w:rsidRPr="0003528F" w:rsidRDefault="0003528F" w:rsidP="00CA0A4D">
      <w:pPr>
        <w:shd w:val="clear" w:color="auto" w:fill="FFFFFF" w:themeFill="background1"/>
        <w:spacing w:after="0"/>
        <w:ind w:firstLine="533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03528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 от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03528F">
        <w:rPr>
          <w:rFonts w:ascii="Times New Roman" w:eastAsiaTheme="minorEastAsia" w:hAnsi="Times New Roman" w:cs="Times New Roman"/>
          <w:kern w:val="24"/>
          <w:sz w:val="28"/>
          <w:szCs w:val="28"/>
          <w:lang w:val="en-US" w:eastAsia="ru-RU"/>
        </w:rPr>
        <w:t>II</w:t>
      </w:r>
      <w:r w:rsidRPr="0003528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кольца до ул. Кавказской, включая ул. Ломоносова, протяженностью 2,633км;</w:t>
      </w:r>
    </w:p>
    <w:p w:rsidR="0003528F" w:rsidRPr="0003528F" w:rsidRDefault="0003528F" w:rsidP="00CA0A4D">
      <w:pPr>
        <w:shd w:val="clear" w:color="auto" w:fill="FFFFFF" w:themeFill="background1"/>
        <w:spacing w:after="0"/>
        <w:ind w:firstLine="5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28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lastRenderedPageBreak/>
        <w:t>- магистраль общегородского значения в районе 10 км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03528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03528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Сероглазка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03528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03528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8 км 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            </w:t>
      </w:r>
      <w:r w:rsidRPr="0003528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(1 этап);</w:t>
      </w:r>
    </w:p>
    <w:p w:rsidR="0003528F" w:rsidRPr="0003528F" w:rsidRDefault="0003528F" w:rsidP="00CA0A4D">
      <w:pPr>
        <w:shd w:val="clear" w:color="auto" w:fill="FFFFFF" w:themeFill="background1"/>
        <w:spacing w:after="0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03528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 по пр.</w:t>
      </w: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Pr="0003528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Таранца</w:t>
      </w:r>
      <w:proofErr w:type="spellEnd"/>
      <w:r w:rsidRPr="0003528F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с устройством транспортной развязки и  водопропускными сооружениями;</w:t>
      </w:r>
    </w:p>
    <w:p w:rsidR="0003528F" w:rsidRPr="0003528F" w:rsidRDefault="0003528F" w:rsidP="00CA0A4D">
      <w:pPr>
        <w:shd w:val="clear" w:color="auto" w:fill="FFFFFF" w:themeFill="background1"/>
        <w:spacing w:after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28F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528F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автомобильной дороги ул. Ларина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528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Циолковского протяжённостью;</w:t>
      </w:r>
    </w:p>
    <w:p w:rsidR="0003528F" w:rsidRDefault="0003528F" w:rsidP="00CA0A4D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03528F">
        <w:rPr>
          <w:rFonts w:ascii="Times New Roman" w:hAnsi="Times New Roman" w:cs="Times New Roman"/>
          <w:sz w:val="28"/>
          <w:szCs w:val="28"/>
        </w:rPr>
        <w:t>- автомобильная дорога по ул. Ларина с устройством транспортной развязки и вод</w:t>
      </w:r>
      <w:r w:rsidRPr="00E6764C">
        <w:rPr>
          <w:rFonts w:ascii="Times New Roman" w:hAnsi="Times New Roman" w:cs="Times New Roman"/>
          <w:sz w:val="28"/>
          <w:szCs w:val="28"/>
        </w:rPr>
        <w:t>опропускными сооружениями (от остановки «Кольцо по улице Ларина» до пересечения с магистральной улицей в районе перспективной застройки);</w:t>
      </w:r>
    </w:p>
    <w:p w:rsidR="0003528F" w:rsidRDefault="0003528F" w:rsidP="00CA0A4D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р</w:t>
      </w:r>
      <w:r w:rsidRPr="005A149B">
        <w:rPr>
          <w:rFonts w:ascii="Times New Roman" w:hAnsi="Times New Roman" w:cs="Times New Roman"/>
          <w:sz w:val="28"/>
          <w:szCs w:val="28"/>
        </w:rPr>
        <w:t xml:space="preserve">еконструкция и капитальный ремонт магистральной улицы общегородского значения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A149B">
        <w:rPr>
          <w:rFonts w:ascii="Times New Roman" w:hAnsi="Times New Roman" w:cs="Times New Roman"/>
          <w:sz w:val="28"/>
          <w:szCs w:val="28"/>
        </w:rPr>
        <w:t xml:space="preserve"> 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A149B">
        <w:rPr>
          <w:rFonts w:ascii="Times New Roman" w:hAnsi="Times New Roman" w:cs="Times New Roman"/>
          <w:sz w:val="28"/>
          <w:szCs w:val="28"/>
        </w:rPr>
        <w:t>Вулканная</w:t>
      </w:r>
      <w:r>
        <w:rPr>
          <w:rFonts w:ascii="Times New Roman" w:hAnsi="Times New Roman" w:cs="Times New Roman"/>
          <w:sz w:val="28"/>
          <w:szCs w:val="28"/>
        </w:rPr>
        <w:t xml:space="preserve"> - ул. Чубарова (</w:t>
      </w:r>
      <w:r w:rsidRPr="005A149B">
        <w:rPr>
          <w:rFonts w:ascii="Times New Roman" w:hAnsi="Times New Roman" w:cs="Times New Roman"/>
          <w:sz w:val="28"/>
          <w:szCs w:val="28"/>
        </w:rPr>
        <w:t>от поста ГИБДД до пересечения с пр.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A149B">
        <w:rPr>
          <w:rFonts w:ascii="Times New Roman" w:hAnsi="Times New Roman" w:cs="Times New Roman"/>
          <w:sz w:val="28"/>
          <w:szCs w:val="28"/>
        </w:rPr>
        <w:t>Победы)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41469" w:rsidRPr="00DB204D" w:rsidRDefault="00941469" w:rsidP="00941469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стоящих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и жилищно-коммунальной сферах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требуется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значительных инвестиционных ресурсов.</w:t>
      </w:r>
    </w:p>
    <w:p w:rsidR="00941469" w:rsidRPr="00DB204D" w:rsidRDefault="00941469" w:rsidP="00941469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среднесрочном периоде п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ланируется ввод в эксплуатацию трех дошкольных образовательных учреждений:</w:t>
      </w:r>
    </w:p>
    <w:p w:rsidR="00941469" w:rsidRPr="001B72AD" w:rsidRDefault="00941469" w:rsidP="00941469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2A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детский сад по ул. Арсеньева на 180 мест (ввод в начале 2017 года);</w:t>
      </w:r>
    </w:p>
    <w:p w:rsidR="00941469" w:rsidRPr="001B72AD" w:rsidRDefault="00941469" w:rsidP="00941469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2A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детский сада по ул. Савченко на 260 мест;</w:t>
      </w:r>
    </w:p>
    <w:p w:rsidR="00941469" w:rsidRPr="00DB204D" w:rsidRDefault="00941469" w:rsidP="00941469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2016 году за счет средств Камчатского края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начато строительство детского сада по ул. </w:t>
      </w:r>
      <w:proofErr w:type="gramStart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Дальневосточной</w:t>
      </w:r>
      <w:proofErr w:type="gramEnd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260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(ввод в 2018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941469" w:rsidRDefault="00941469" w:rsidP="0094146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году в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едутся работы по проектированию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общего образования детей: общеобразовательн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проспект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Рыбаков на 200 мест и начальной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Космический проезд на 200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1469" w:rsidRPr="00BB6E1A" w:rsidRDefault="00941469" w:rsidP="00941469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2016 году планируется завершить </w:t>
      </w:r>
      <w:proofErr w:type="spellStart"/>
      <w:r w:rsidRPr="00DB2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сейсмоусиление</w:t>
      </w:r>
      <w:proofErr w:type="spellEnd"/>
      <w:r w:rsidRPr="00DB2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зданий средней школы № 33 (филиал № 2), детского сада № 20 и детского сада № 51. В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плановом периоде предстоит </w:t>
      </w:r>
      <w:proofErr w:type="spellStart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сейсмоусиление</w:t>
      </w:r>
      <w:proofErr w:type="spellEnd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 школы № 3 </w:t>
      </w:r>
      <w:r w:rsidRPr="00BB6E1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подготовка проектной документации по сейсмоусилению несущих строительных конструкций многоквартирных жилых домов.</w:t>
      </w:r>
    </w:p>
    <w:p w:rsidR="00941469" w:rsidRPr="00DB204D" w:rsidRDefault="00941469" w:rsidP="00941469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культуры продолжаться работы по реконструкции городского дома культуры «СРВ». В рамках инвестиционной программы Камчатского края в городском округе </w:t>
      </w:r>
      <w:r w:rsidR="005D6C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продолжится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 театра кукол по проспекту Циолковского и краевой детской библиотеки по ул. </w:t>
      </w:r>
      <w:proofErr w:type="gramStart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Владивостокская</w:t>
      </w:r>
      <w:proofErr w:type="gramEnd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краевого бюджета).</w:t>
      </w:r>
    </w:p>
    <w:p w:rsidR="00941469" w:rsidRPr="00DB204D" w:rsidRDefault="00941469" w:rsidP="00941469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со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строительством жилых</w:t>
      </w:r>
      <w:r w:rsidR="00BB6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домов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социальных объектов </w:t>
      </w:r>
      <w:r w:rsidRPr="00DB20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продолжится модернизация сетевого хозяйства, </w:t>
      </w:r>
      <w:r w:rsidRPr="00DB2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реконструкция системы водоснабжения юго-восточной части городского округа (строительство перемычки по госпитальному переулку от РВЧ пр.</w:t>
      </w:r>
      <w:proofErr w:type="gramEnd"/>
      <w:r w:rsidRPr="00DB2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B2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Циолковского, 3/1 до ул. Пограничной, 31а),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реконструкция системы водоснабжения и водоотведения центральной части городского округа, реконструкция очистных сооружений «Чавыча», резервуаров чистой воды «</w:t>
      </w:r>
      <w:proofErr w:type="spellStart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Богородское</w:t>
      </w:r>
      <w:proofErr w:type="spellEnd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озеро», реконструкция тепловых сетей в рамках перевода многоквартирных домов на централизованное горячее водоснабжение.</w:t>
      </w:r>
      <w:proofErr w:type="gramEnd"/>
    </w:p>
    <w:p w:rsidR="00941469" w:rsidRPr="00DB204D" w:rsidRDefault="00941469" w:rsidP="00941469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Начиная с 2017 года п</w:t>
      </w:r>
      <w:r w:rsidRPr="00DB2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ланируется строительства 2-х</w:t>
      </w:r>
      <w:proofErr w:type="gramEnd"/>
      <w:r w:rsidRPr="00DB2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многоквартирных жилых домов в районе ул. </w:t>
      </w:r>
      <w:proofErr w:type="spellStart"/>
      <w:r w:rsidRPr="00DB2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Карбышева</w:t>
      </w:r>
      <w:proofErr w:type="spellEnd"/>
      <w:r w:rsidRPr="00DB2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общей площадью 15,44 тыс. кв. метров. Подготовлена проектно-сметная документация на строительство жилого дома по ул. </w:t>
      </w:r>
      <w:proofErr w:type="spellStart"/>
      <w:r w:rsidRPr="00DB2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Хасанская</w:t>
      </w:r>
      <w:proofErr w:type="spellEnd"/>
      <w:r w:rsidRPr="00DB20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3528F" w:rsidRDefault="0003528F" w:rsidP="0003528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21D9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целях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повышения уровня обеспеченности населения городского округа объектами </w:t>
      </w:r>
      <w:r w:rsidRPr="00521D9B">
        <w:rPr>
          <w:rFonts w:ascii="Times New Roman" w:eastAsia="Calibri" w:hAnsi="Times New Roman" w:cs="Times New Roman"/>
          <w:sz w:val="28"/>
          <w:szCs w:val="28"/>
        </w:rPr>
        <w:t>физкультуры и спорта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521D9B">
        <w:rPr>
          <w:rFonts w:ascii="Times New Roman" w:eastAsia="Calibri" w:hAnsi="Times New Roman" w:cs="Times New Roman"/>
          <w:sz w:val="28"/>
          <w:szCs w:val="28"/>
        </w:rPr>
        <w:t xml:space="preserve"> за счет средств краевого бюджета в прогнозном периоде продолжатся работы по реконструкции инфраструктуры горнолыжной базы «Эдельвейс», начаты работы по проектированию строительства </w:t>
      </w:r>
      <w:r w:rsidRPr="00526821">
        <w:rPr>
          <w:rFonts w:ascii="Times New Roman" w:eastAsia="Calibri" w:hAnsi="Times New Roman" w:cs="Times New Roman"/>
          <w:sz w:val="28"/>
          <w:szCs w:val="28"/>
        </w:rPr>
        <w:t>физкультурно-оздоровительного комплекса с плавательным бассейном и межшкольного стадиона, ведутся работы по строительству ф</w:t>
      </w:r>
      <w:r w:rsidRPr="005268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изкультурно-оздоровительного комплекса с ледовой ареной, </w:t>
      </w:r>
      <w:r w:rsidRPr="00CF29B8">
        <w:rPr>
          <w:rFonts w:ascii="Times New Roman" w:hAnsi="Times New Roman" w:cs="Times New Roman"/>
          <w:sz w:val="28"/>
          <w:szCs w:val="28"/>
        </w:rPr>
        <w:t xml:space="preserve">полузакрытого малокалиберного </w:t>
      </w:r>
      <w:r w:rsidRPr="00CF29B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тира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</w:t>
      </w:r>
      <w:r w:rsidRPr="00526821">
        <w:rPr>
          <w:rFonts w:ascii="Times New Roman" w:eastAsia="Calibri" w:hAnsi="Times New Roman" w:cs="Times New Roman"/>
          <w:sz w:val="28"/>
          <w:szCs w:val="28"/>
        </w:rPr>
        <w:t>биатлонно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526821">
        <w:rPr>
          <w:rFonts w:ascii="Times New Roman" w:eastAsia="Calibri" w:hAnsi="Times New Roman" w:cs="Times New Roman"/>
          <w:sz w:val="28"/>
          <w:szCs w:val="28"/>
        </w:rPr>
        <w:t xml:space="preserve"> комплекс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526821">
        <w:rPr>
          <w:rFonts w:ascii="Times New Roman" w:eastAsia="Calibri" w:hAnsi="Times New Roman" w:cs="Times New Roman"/>
          <w:sz w:val="28"/>
          <w:szCs w:val="28"/>
        </w:rPr>
        <w:t>, физкультурно-оздоровительного комплекса с плавательным</w:t>
      </w:r>
      <w:proofErr w:type="gramEnd"/>
      <w:r w:rsidRPr="00526821">
        <w:rPr>
          <w:rFonts w:ascii="Times New Roman" w:eastAsia="Calibri" w:hAnsi="Times New Roman" w:cs="Times New Roman"/>
          <w:sz w:val="28"/>
          <w:szCs w:val="28"/>
        </w:rPr>
        <w:t xml:space="preserve"> бассейном по ул. </w:t>
      </w:r>
      <w:proofErr w:type="gramStart"/>
      <w:r w:rsidRPr="00526821">
        <w:rPr>
          <w:rFonts w:ascii="Times New Roman" w:eastAsia="Calibri" w:hAnsi="Times New Roman" w:cs="Times New Roman"/>
          <w:sz w:val="28"/>
          <w:szCs w:val="28"/>
        </w:rPr>
        <w:t>Океанская</w:t>
      </w:r>
      <w:proofErr w:type="gramEnd"/>
      <w:r w:rsidRPr="00526821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продолжится </w:t>
      </w:r>
      <w:r w:rsidRPr="00747B1D">
        <w:rPr>
          <w:rFonts w:ascii="Times New Roman" w:eastAsia="Calibri" w:hAnsi="Times New Roman" w:cs="Times New Roman"/>
          <w:sz w:val="28"/>
          <w:szCs w:val="28"/>
        </w:rPr>
        <w:t>реконструкции стадиона «Спартак»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1469" w:rsidRPr="00DB204D" w:rsidRDefault="00941469" w:rsidP="00941469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государственной программы «Развитие здравоохранения Камчатского края на 2014-2020 годы» на территории городского округа продолжится строительство Камчатской краевой больницы на 510 коек. Планируется строительство педиатрического корпуса на 40 коек и 40 посещений в смену КБУЗ «Камчатский краевой психоневрологический диспансер» и строительство корпуса паллиативной медицинской помощи на 80 коек.</w:t>
      </w:r>
    </w:p>
    <w:p w:rsidR="0003528F" w:rsidRPr="00563E46" w:rsidRDefault="0003528F" w:rsidP="0003528F">
      <w:pPr>
        <w:spacing w:after="6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63E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Для повышения привлекательности городского округа для туристов предполагается строительство гостиницы «Парус» и строительство гостиницы на улице Ленинградской, завершить реализацию данного проекта намечается до конца 2018 года. Проекты </w:t>
      </w:r>
      <w:r w:rsidR="0094146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будут </w:t>
      </w:r>
      <w:r w:rsidRPr="00563E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реализ</w:t>
      </w:r>
      <w:r w:rsidR="0094146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ованы</w:t>
      </w:r>
      <w:r w:rsidRPr="00563E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за счет средств инвесторов.</w:t>
      </w:r>
    </w:p>
    <w:p w:rsidR="0003528F" w:rsidRPr="002B1583" w:rsidRDefault="0003528F" w:rsidP="0003528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5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создания условий развития морского туризма ведется строительство морского вокзала вместимостью 200 человек.</w:t>
      </w:r>
    </w:p>
    <w:p w:rsidR="0003528F" w:rsidRDefault="0003528F" w:rsidP="0003528F">
      <w:pPr>
        <w:tabs>
          <w:tab w:val="left" w:pos="54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029C6">
        <w:rPr>
          <w:rFonts w:ascii="Times New Roman" w:eastAsia="Calibri" w:hAnsi="Times New Roman" w:cs="Times New Roman"/>
          <w:sz w:val="28"/>
          <w:szCs w:val="28"/>
        </w:rPr>
        <w:t>За счет сре</w:t>
      </w:r>
      <w:proofErr w:type="gramStart"/>
      <w:r w:rsidRPr="001029C6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1029C6">
        <w:rPr>
          <w:rFonts w:ascii="Times New Roman" w:eastAsia="Calibri" w:hAnsi="Times New Roman" w:cs="Times New Roman"/>
          <w:sz w:val="28"/>
          <w:szCs w:val="28"/>
        </w:rPr>
        <w:t>аевого и местного бюджет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1029C6">
        <w:rPr>
          <w:rFonts w:ascii="Times New Roman" w:eastAsia="Calibri" w:hAnsi="Times New Roman" w:cs="Times New Roman"/>
          <w:sz w:val="28"/>
          <w:szCs w:val="28"/>
        </w:rPr>
        <w:t xml:space="preserve"> планируется реконструкция здания банно-прачечного комплекса.</w:t>
      </w:r>
    </w:p>
    <w:p w:rsidR="00941469" w:rsidRPr="00030CE7" w:rsidRDefault="00941469" w:rsidP="00941469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0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обрабатывающих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производствах планируется </w:t>
      </w:r>
      <w:r w:rsidRPr="00030C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пивоваренного завода (ООО «Камчатский пивоваренный завод).</w:t>
      </w:r>
    </w:p>
    <w:p w:rsidR="0003528F" w:rsidRDefault="0003528F" w:rsidP="0003528F">
      <w:pPr>
        <w:tabs>
          <w:tab w:val="left" w:pos="54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прогнозируемом периоде продолжится развитие инфраструктуры для инвесторов. Предполагается реализация инвестиционных проектов по созданию промышленного парка «</w:t>
      </w:r>
      <w:r w:rsidR="005D6CDE">
        <w:rPr>
          <w:rFonts w:ascii="Times New Roman" w:eastAsia="Calibri" w:hAnsi="Times New Roman" w:cs="Times New Roman"/>
          <w:sz w:val="28"/>
          <w:szCs w:val="28"/>
        </w:rPr>
        <w:t>Дальний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бизнес-инкубатора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F696A" w:rsidRPr="00BF25C9" w:rsidRDefault="001F696A" w:rsidP="0003528F">
      <w:pPr>
        <w:tabs>
          <w:tab w:val="left" w:pos="54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955A9" w:rsidRPr="001F696A" w:rsidRDefault="000955A9" w:rsidP="001F696A">
      <w:pPr>
        <w:jc w:val="center"/>
        <w:rPr>
          <w:rFonts w:ascii="Times New Roman" w:hAnsi="Times New Roman" w:cs="Times New Roman"/>
          <w:b/>
          <w:sz w:val="28"/>
        </w:rPr>
      </w:pPr>
      <w:r w:rsidRPr="001F696A">
        <w:rPr>
          <w:rFonts w:ascii="Times New Roman" w:hAnsi="Times New Roman" w:cs="Times New Roman"/>
          <w:b/>
          <w:sz w:val="28"/>
        </w:rPr>
        <w:t>Строительство</w:t>
      </w:r>
      <w:r w:rsidR="00C20D00" w:rsidRPr="001F696A">
        <w:rPr>
          <w:rFonts w:ascii="Times New Roman" w:hAnsi="Times New Roman" w:cs="Times New Roman"/>
          <w:b/>
          <w:sz w:val="28"/>
        </w:rPr>
        <w:t xml:space="preserve"> и градостроительная политика</w:t>
      </w:r>
    </w:p>
    <w:p w:rsidR="005B2C57" w:rsidRDefault="00346D85" w:rsidP="005B2C57">
      <w:pPr>
        <w:pStyle w:val="Standard"/>
        <w:widowControl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работ, выполненный по виду деятельности «Строительство» организациями городского округа,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сравнению с 2014 годом увеличился на 16,5 % 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составил </w:t>
      </w:r>
      <w:r>
        <w:rPr>
          <w:rFonts w:ascii="Times New Roman" w:eastAsia="Calibri" w:hAnsi="Times New Roman" w:cs="Times New Roman"/>
          <w:sz w:val="28"/>
          <w:szCs w:val="28"/>
        </w:rPr>
        <w:t xml:space="preserve">12 415,64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И</w:t>
      </w:r>
      <w:r>
        <w:rPr>
          <w:rFonts w:ascii="Times New Roman" w:eastAsia="Calibri" w:hAnsi="Times New Roman" w:cs="Times New Roman"/>
          <w:sz w:val="28"/>
          <w:szCs w:val="28"/>
        </w:rPr>
        <w:t>ндекс физического объема - 108,4 %.</w:t>
      </w:r>
    </w:p>
    <w:p w:rsidR="00346D85" w:rsidRDefault="00346D85" w:rsidP="005B2C57">
      <w:pPr>
        <w:pStyle w:val="Standard"/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течение 2015 год</w:t>
      </w:r>
      <w:r w:rsidR="005D6CDE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построены и введены в эксплуатацию объекты производственно-технического назначения и социальной сферы: водопроводные сети протяженностью 1,3 км, новые торговые предприятия общей площадью        4,5 тыс. кв. метров, станция технического обслуживания,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предприятия общественного питания (</w:t>
      </w:r>
      <w:r>
        <w:rPr>
          <w:rFonts w:ascii="Times New Roman" w:eastAsia="Calibri" w:hAnsi="Times New Roman" w:cs="Times New Roman"/>
          <w:sz w:val="28"/>
          <w:szCs w:val="28"/>
        </w:rPr>
        <w:t>кафе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Переку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n-US"/>
        </w:rPr>
        <w:t>City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на 150 посадочных мест и диетическая столовая на ул. Пограничной на 150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посадочных мест), автомобильн</w:t>
      </w:r>
      <w:r w:rsidR="005D6CDE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</w:t>
      </w:r>
      <w:r w:rsidR="005D6C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протяженностью 0,9 км (</w:t>
      </w:r>
      <w:r>
        <w:rPr>
          <w:rFonts w:ascii="Times New Roman" w:hAnsi="Times New Roman" w:cs="Times New Roman"/>
          <w:sz w:val="28"/>
          <w:szCs w:val="28"/>
        </w:rPr>
        <w:t>участок дороги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Вулканной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- 0,53 км и магистраль по ул. Дальневосточной - 0,37 км),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общетоварные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склады общей площадью 2,4 тыс. кв. метров, холодильник для рыбообрабатывающего производства на 600 тонн</w:t>
      </w:r>
      <w:r w:rsidRPr="008964AE">
        <w:rPr>
          <w:rFonts w:ascii="Times New Roman" w:hAnsi="Times New Roman" w:cs="Times New Roman"/>
          <w:sz w:val="28"/>
          <w:szCs w:val="28"/>
        </w:rPr>
        <w:t xml:space="preserve">, антенно-мачтовое </w:t>
      </w:r>
      <w:r>
        <w:rPr>
          <w:rFonts w:ascii="Times New Roman" w:hAnsi="Times New Roman" w:cs="Times New Roman"/>
          <w:sz w:val="28"/>
          <w:szCs w:val="28"/>
        </w:rPr>
        <w:t xml:space="preserve">сооружение для сотовой связи,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волокнистооптические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линии связи протяженностью 8,7 км, поликлиника с реабилитационным центром по ул. </w:t>
      </w:r>
      <w:r>
        <w:rPr>
          <w:rFonts w:ascii="Times New Roman" w:hAnsi="Times New Roman" w:cs="Times New Roman"/>
          <w:sz w:val="28"/>
          <w:szCs w:val="28"/>
        </w:rPr>
        <w:lastRenderedPageBreak/>
        <w:t>Индустриальная мощность 500 посещений в смену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46D85" w:rsidRDefault="00346D85" w:rsidP="00346D85">
      <w:pPr>
        <w:pStyle w:val="Textbody"/>
        <w:spacing w:after="0"/>
        <w:rPr>
          <w:rFonts w:ascii="Times New Roman" w:hAnsi="Times New Roman" w:cs="Times New Roman"/>
          <w:sz w:val="28"/>
        </w:rPr>
      </w:pPr>
      <w:proofErr w:type="gramStart"/>
      <w:r w:rsidRPr="00DF11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содействия развитию строительства и реализации градостроительной политики в 2015 году выдано 162 разрешения на строительство, реконструкцию объектов, 80 разрешений на ввод в эксплуатацию объектов.</w:t>
      </w:r>
      <w:proofErr w:type="gramEnd"/>
      <w:r w:rsidRPr="00DF118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Pr="00DF1189">
        <w:rPr>
          <w:rFonts w:ascii="Times New Roman" w:hAnsi="Times New Roman" w:cs="Times New Roman"/>
          <w:sz w:val="28"/>
        </w:rPr>
        <w:t>редусмотрен</w:t>
      </w:r>
      <w:r>
        <w:rPr>
          <w:rFonts w:ascii="Times New Roman" w:hAnsi="Times New Roman" w:cs="Times New Roman"/>
          <w:sz w:val="28"/>
        </w:rPr>
        <w:t>о</w:t>
      </w:r>
      <w:r w:rsidRPr="00DF1189">
        <w:rPr>
          <w:rFonts w:ascii="Times New Roman" w:hAnsi="Times New Roman" w:cs="Times New Roman"/>
          <w:sz w:val="28"/>
        </w:rPr>
        <w:t xml:space="preserve"> строительство объектов торговли и торгово-развлекательны</w:t>
      </w:r>
      <w:r>
        <w:rPr>
          <w:rFonts w:ascii="Times New Roman" w:hAnsi="Times New Roman" w:cs="Times New Roman"/>
          <w:sz w:val="28"/>
        </w:rPr>
        <w:t>х</w:t>
      </w:r>
      <w:r w:rsidRPr="00DF1189">
        <w:rPr>
          <w:rFonts w:ascii="Times New Roman" w:hAnsi="Times New Roman" w:cs="Times New Roman"/>
          <w:sz w:val="28"/>
        </w:rPr>
        <w:t xml:space="preserve"> центр</w:t>
      </w:r>
      <w:r>
        <w:rPr>
          <w:rFonts w:ascii="Times New Roman" w:hAnsi="Times New Roman" w:cs="Times New Roman"/>
          <w:sz w:val="28"/>
        </w:rPr>
        <w:t>ов</w:t>
      </w:r>
      <w:r w:rsidRPr="00DF118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общей площадью</w:t>
      </w:r>
      <w:r w:rsidRPr="00DF1189">
        <w:rPr>
          <w:rFonts w:ascii="Times New Roman" w:hAnsi="Times New Roman" w:cs="Times New Roman"/>
          <w:sz w:val="28"/>
        </w:rPr>
        <w:t xml:space="preserve"> 34,96 тыс. кв. метров, производственных предприятий и гостиниц </w:t>
      </w:r>
      <w:r>
        <w:rPr>
          <w:rFonts w:ascii="Times New Roman" w:hAnsi="Times New Roman" w:cs="Times New Roman"/>
          <w:sz w:val="28"/>
        </w:rPr>
        <w:t>-</w:t>
      </w:r>
      <w:r w:rsidRPr="00DF1189">
        <w:rPr>
          <w:rFonts w:ascii="Times New Roman" w:hAnsi="Times New Roman" w:cs="Times New Roman"/>
          <w:sz w:val="28"/>
        </w:rPr>
        <w:t xml:space="preserve"> 1,71 тыс. кв. м</w:t>
      </w:r>
      <w:r>
        <w:rPr>
          <w:rFonts w:ascii="Times New Roman" w:hAnsi="Times New Roman" w:cs="Times New Roman"/>
          <w:sz w:val="28"/>
        </w:rPr>
        <w:t>етров</w:t>
      </w:r>
      <w:r w:rsidRPr="00DF1189">
        <w:rPr>
          <w:rFonts w:ascii="Times New Roman" w:hAnsi="Times New Roman" w:cs="Times New Roman"/>
          <w:sz w:val="28"/>
        </w:rPr>
        <w:t xml:space="preserve">, объектов социального назначения </w:t>
      </w:r>
      <w:r>
        <w:rPr>
          <w:rFonts w:ascii="Times New Roman" w:hAnsi="Times New Roman" w:cs="Times New Roman"/>
          <w:sz w:val="28"/>
        </w:rPr>
        <w:t>-</w:t>
      </w:r>
      <w:r w:rsidRPr="00DF1189">
        <w:rPr>
          <w:rFonts w:ascii="Times New Roman" w:hAnsi="Times New Roman" w:cs="Times New Roman"/>
          <w:sz w:val="28"/>
        </w:rPr>
        <w:t xml:space="preserve"> 11,26 тыс. кв. м</w:t>
      </w:r>
      <w:r>
        <w:rPr>
          <w:rFonts w:ascii="Times New Roman" w:hAnsi="Times New Roman" w:cs="Times New Roman"/>
          <w:sz w:val="28"/>
        </w:rPr>
        <w:t>етров</w:t>
      </w:r>
      <w:r w:rsidRPr="00DF1189">
        <w:rPr>
          <w:rFonts w:ascii="Times New Roman" w:hAnsi="Times New Roman" w:cs="Times New Roman"/>
          <w:sz w:val="28"/>
        </w:rPr>
        <w:t>.</w:t>
      </w:r>
    </w:p>
    <w:p w:rsidR="00346D85" w:rsidRDefault="00346D85" w:rsidP="00346D85">
      <w:pPr>
        <w:pStyle w:val="Standard"/>
        <w:spacing w:after="0"/>
      </w:pPr>
      <w:r>
        <w:rPr>
          <w:rFonts w:ascii="Times New Roman" w:hAnsi="Times New Roman" w:cs="Times New Roman"/>
          <w:sz w:val="28"/>
          <w:szCs w:val="28"/>
        </w:rPr>
        <w:t>В 2016 году объем выполненных</w:t>
      </w:r>
      <w:r w:rsidRPr="00364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 по виду деятельности «Строительство» планируется на уровне 104,1 % в сопоставимых ценах к 2015 год</w:t>
      </w:r>
      <w:r w:rsidR="00717D4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и составит 13 003,5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46D85" w:rsidRDefault="00346D85" w:rsidP="00346D85">
      <w:pPr>
        <w:pStyle w:val="Standard"/>
        <w:widowControl w:val="0"/>
        <w:tabs>
          <w:tab w:val="center" w:pos="4677"/>
          <w:tab w:val="right" w:pos="9355"/>
        </w:tabs>
        <w:spacing w:after="0"/>
      </w:pPr>
      <w:r>
        <w:rPr>
          <w:rFonts w:ascii="Times New Roman" w:hAnsi="Times New Roman" w:cs="Times New Roman"/>
          <w:sz w:val="28"/>
          <w:szCs w:val="28"/>
        </w:rPr>
        <w:t>Сдерживающими факторами развития строительной отрасли на данном этапе являются:</w:t>
      </w:r>
    </w:p>
    <w:p w:rsidR="00346D85" w:rsidRPr="00364381" w:rsidRDefault="00346D85" w:rsidP="00346D85">
      <w:pPr>
        <w:pStyle w:val="Standard"/>
        <w:widowControl w:val="0"/>
        <w:tabs>
          <w:tab w:val="center" w:pos="4677"/>
          <w:tab w:val="right" w:pos="9355"/>
        </w:tabs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64381">
        <w:rPr>
          <w:rFonts w:ascii="Times New Roman" w:hAnsi="Times New Roman" w:cs="Times New Roman"/>
          <w:sz w:val="28"/>
          <w:szCs w:val="28"/>
        </w:rPr>
        <w:t>недостаточная инвестиционная активность хозяйствующих субъектов, в том числе по причине высокой стоимости кредитных ресурсов;</w:t>
      </w:r>
    </w:p>
    <w:p w:rsidR="00346D85" w:rsidRDefault="00346D85" w:rsidP="00346D85">
      <w:pPr>
        <w:pStyle w:val="Standard"/>
        <w:widowControl w:val="0"/>
        <w:tabs>
          <w:tab w:val="center" w:pos="4677"/>
          <w:tab w:val="right" w:pos="9355"/>
        </w:tabs>
        <w:spacing w:after="0"/>
      </w:pPr>
      <w:r w:rsidRPr="00364381">
        <w:rPr>
          <w:rFonts w:ascii="Times New Roman" w:hAnsi="Times New Roman" w:cs="Times New Roman"/>
          <w:sz w:val="28"/>
          <w:szCs w:val="28"/>
        </w:rPr>
        <w:t>- низкий</w:t>
      </w:r>
      <w:r>
        <w:rPr>
          <w:rFonts w:ascii="Times New Roman" w:hAnsi="Times New Roman" w:cs="Times New Roman"/>
          <w:sz w:val="28"/>
          <w:szCs w:val="28"/>
        </w:rPr>
        <w:t xml:space="preserve"> уровень платежеспособности заказчиков;</w:t>
      </w:r>
    </w:p>
    <w:p w:rsidR="00346D85" w:rsidRDefault="00346D85" w:rsidP="00346D85">
      <w:pPr>
        <w:pStyle w:val="Standard"/>
        <w:widowControl w:val="0"/>
        <w:tabs>
          <w:tab w:val="center" w:pos="4677"/>
          <w:tab w:val="right" w:pos="9355"/>
        </w:tabs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- высокая стоимость строительных материалов, конструкций, изделий;</w:t>
      </w:r>
    </w:p>
    <w:p w:rsidR="00346D85" w:rsidRDefault="00346D85" w:rsidP="00346D85">
      <w:pPr>
        <w:pStyle w:val="Standard"/>
        <w:widowControl w:val="0"/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отстающее развитие сети инженерных коммуникаций;</w:t>
      </w:r>
    </w:p>
    <w:p w:rsidR="00346D85" w:rsidRDefault="00346D85" w:rsidP="00346D85">
      <w:pPr>
        <w:pStyle w:val="Standard"/>
        <w:widowControl w:val="0"/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недостаток квалифицированных рабочих;</w:t>
      </w:r>
    </w:p>
    <w:p w:rsidR="00346D85" w:rsidRDefault="00346D85" w:rsidP="00346D85">
      <w:pPr>
        <w:pStyle w:val="Standard"/>
        <w:widowControl w:val="0"/>
        <w:tabs>
          <w:tab w:val="center" w:pos="4677"/>
          <w:tab w:val="right" w:pos="9355"/>
        </w:tabs>
        <w:spacing w:after="60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нехватка</w:t>
      </w:r>
      <w:proofErr w:type="gramEnd"/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земельных участков для застройки.</w:t>
      </w:r>
    </w:p>
    <w:p w:rsidR="00346D85" w:rsidRDefault="00346D85" w:rsidP="00346D85">
      <w:pPr>
        <w:pStyle w:val="Standard"/>
        <w:widowControl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</w:t>
      </w:r>
      <w:r w:rsidR="00BB6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2017-2019 годы разработан с учетом сложившихся тенденций развития строительной отрасли за последние 2 года и реализации проектов на ТО</w:t>
      </w:r>
      <w:r w:rsidR="005D6CDE">
        <w:rPr>
          <w:rFonts w:ascii="Times New Roman" w:hAnsi="Times New Roman" w:cs="Times New Roman"/>
          <w:sz w:val="28"/>
          <w:szCs w:val="28"/>
        </w:rPr>
        <w:t>СЭР</w:t>
      </w:r>
      <w:r>
        <w:rPr>
          <w:rFonts w:ascii="Times New Roman" w:hAnsi="Times New Roman" w:cs="Times New Roman"/>
          <w:sz w:val="28"/>
          <w:szCs w:val="28"/>
        </w:rPr>
        <w:t xml:space="preserve">Р «Камчатка» и Свободного порта. Данные об объемах строительства спрогнозированы с учетом инвестиционной активности предприятий и организаций, субъектов малого предпринимательства. </w:t>
      </w:r>
      <w:r>
        <w:rPr>
          <w:rFonts w:ascii="Times New Roman" w:eastAsia="Calibri" w:hAnsi="Times New Roman" w:cs="Times New Roman"/>
          <w:sz w:val="28"/>
          <w:szCs w:val="28"/>
        </w:rPr>
        <w:t>Существенное влияние на динамику развития строительной отрасли будет оказ</w:t>
      </w:r>
      <w:r w:rsidR="009517A0">
        <w:rPr>
          <w:rFonts w:ascii="Times New Roman" w:eastAsia="Calibri" w:hAnsi="Times New Roman" w:cs="Times New Roman"/>
          <w:sz w:val="28"/>
          <w:szCs w:val="28"/>
        </w:rPr>
        <w:t>ывать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реализаци</w:t>
      </w:r>
      <w:r w:rsidR="009517A0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территории городского округа мероприятий Инвестиционной программы Камчатского края (объекты здравоохранения, образования, спорта, культуры, жилья), муниципальной программы «Обеспечение доступным и комфортным жильем жителей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Петропавловск-Камчатского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округа».</w:t>
      </w:r>
    </w:p>
    <w:p w:rsidR="00346D85" w:rsidRDefault="00346D85" w:rsidP="00346D85">
      <w:pPr>
        <w:pStyle w:val="Standard"/>
        <w:widowControl w:val="0"/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варианту 1 Прогноза </w:t>
      </w:r>
      <w:r w:rsidRPr="00EC2A62">
        <w:rPr>
          <w:rFonts w:ascii="Times New Roman" w:hAnsi="Times New Roman" w:cs="Times New Roman"/>
          <w:sz w:val="28"/>
          <w:szCs w:val="28"/>
        </w:rPr>
        <w:t xml:space="preserve">динамика объема работ прогнозируется умеренными темпами: в 2017 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2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97,41</w:t>
      </w:r>
      <w:r w:rsidRPr="00EC2A62">
        <w:rPr>
          <w:rFonts w:ascii="Times New Roman" w:hAnsi="Times New Roman" w:cs="Times New Roman"/>
          <w:sz w:val="28"/>
          <w:szCs w:val="28"/>
        </w:rPr>
        <w:t xml:space="preserve"> % к 2016 году; в 2018 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2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C2A6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C2A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C2A62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>к 2017 году; в 2019 году - 101,62 % к 2018 году.</w:t>
      </w:r>
    </w:p>
    <w:p w:rsidR="00FA76D1" w:rsidRDefault="00346D85" w:rsidP="00FA76D1">
      <w:pPr>
        <w:spacing w:after="0"/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C2A62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C2A62">
        <w:rPr>
          <w:rFonts w:ascii="Times New Roman" w:hAnsi="Times New Roman" w:cs="Times New Roman"/>
          <w:sz w:val="28"/>
          <w:szCs w:val="28"/>
        </w:rPr>
        <w:t xml:space="preserve">арианту 2 Прогноза: в 2017 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2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113,23</w:t>
      </w:r>
      <w:r w:rsidRPr="00EC2A62">
        <w:rPr>
          <w:rFonts w:ascii="Times New Roman" w:hAnsi="Times New Roman" w:cs="Times New Roman"/>
          <w:sz w:val="28"/>
          <w:szCs w:val="28"/>
        </w:rPr>
        <w:t xml:space="preserve"> %; в 2018 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C2A62">
        <w:rPr>
          <w:rFonts w:ascii="Times New Roman" w:hAnsi="Times New Roman" w:cs="Times New Roman"/>
          <w:sz w:val="28"/>
          <w:szCs w:val="28"/>
        </w:rPr>
        <w:t xml:space="preserve"> 102,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EC2A62">
        <w:rPr>
          <w:rFonts w:ascii="Times New Roman" w:hAnsi="Times New Roman" w:cs="Times New Roman"/>
          <w:sz w:val="28"/>
          <w:szCs w:val="28"/>
        </w:rPr>
        <w:t xml:space="preserve"> %, в 2019 году </w:t>
      </w:r>
      <w:r w:rsidR="0014205A">
        <w:rPr>
          <w:rFonts w:ascii="Times New Roman" w:hAnsi="Times New Roman" w:cs="Times New Roman"/>
          <w:sz w:val="28"/>
          <w:szCs w:val="28"/>
        </w:rPr>
        <w:t>-</w:t>
      </w:r>
      <w:r w:rsidRPr="00EC2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103,66 </w:t>
      </w:r>
      <w:r w:rsidRPr="00EC2A62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2A62">
        <w:rPr>
          <w:rFonts w:ascii="Times New Roman" w:hAnsi="Times New Roman" w:cs="Times New Roman"/>
          <w:sz w:val="28"/>
          <w:szCs w:val="28"/>
        </w:rPr>
        <w:t xml:space="preserve"> соответственно к предыдущему году</w:t>
      </w:r>
      <w:r w:rsidR="00BB6E1A">
        <w:rPr>
          <w:rFonts w:ascii="Times New Roman" w:hAnsi="Times New Roman" w:cs="Times New Roman"/>
          <w:sz w:val="28"/>
          <w:szCs w:val="28"/>
        </w:rPr>
        <w:t>.</w:t>
      </w:r>
    </w:p>
    <w:p w:rsidR="00FA76D1" w:rsidRDefault="00FA76D1" w:rsidP="00C20D00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2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Градостроительное развитие</w:t>
      </w:r>
      <w:r w:rsidRPr="00C20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городском округе</w:t>
      </w:r>
      <w:r w:rsidRPr="00C20D0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Pr="00C20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 соответствии с генеральным планом городского округа. </w:t>
      </w:r>
    </w:p>
    <w:p w:rsidR="0082628F" w:rsidRDefault="0082628F" w:rsidP="00C20D00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в сфере градостроительной деятельности:</w:t>
      </w:r>
    </w:p>
    <w:p w:rsidR="005D0F7F" w:rsidRDefault="005D0F7F" w:rsidP="005D0F7F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D0F7F">
        <w:rPr>
          <w:rFonts w:ascii="Times New Roman" w:eastAsia="Calibri" w:hAnsi="Times New Roman" w:cs="Times New Roman"/>
          <w:sz w:val="28"/>
          <w:szCs w:val="28"/>
        </w:rPr>
        <w:t>отсутствие в городском округе резерва территорий для строительства объектов жилищного, социального и коммунально-бытового назначения;</w:t>
      </w:r>
    </w:p>
    <w:p w:rsidR="005D0F7F" w:rsidRPr="005D0F7F" w:rsidRDefault="005D0F7F" w:rsidP="005D0F7F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D0F7F">
        <w:rPr>
          <w:rFonts w:ascii="Times New Roman" w:eastAsia="Calibri" w:hAnsi="Times New Roman" w:cs="Times New Roman"/>
          <w:sz w:val="28"/>
          <w:szCs w:val="28"/>
        </w:rPr>
        <w:t>- отсутствие резервов для подключения объектов нового строительства к инженерным сетям;</w:t>
      </w:r>
    </w:p>
    <w:p w:rsidR="0082628F" w:rsidRDefault="0082628F" w:rsidP="0082628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2628F">
        <w:rPr>
          <w:rFonts w:ascii="Times New Roman" w:eastAsia="Calibri" w:hAnsi="Times New Roman" w:cs="Times New Roman"/>
          <w:sz w:val="28"/>
          <w:szCs w:val="28"/>
        </w:rPr>
        <w:t>- недостаточное обеспечение финансовыми средствами, не позволяющее провести разработку планировочной и проектной документации на вс</w:t>
      </w:r>
      <w:r w:rsidR="00F4169A">
        <w:rPr>
          <w:rFonts w:ascii="Times New Roman" w:eastAsia="Calibri" w:hAnsi="Times New Roman" w:cs="Times New Roman"/>
          <w:sz w:val="28"/>
          <w:szCs w:val="28"/>
        </w:rPr>
        <w:t>ей территории городского округа, проекты планировок разрабатываются по необходимости;</w:t>
      </w:r>
    </w:p>
    <w:p w:rsidR="0082628F" w:rsidRDefault="0082628F" w:rsidP="0082628F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82628F">
        <w:rPr>
          <w:rFonts w:ascii="Times New Roman" w:eastAsia="Calibri" w:hAnsi="Times New Roman" w:cs="Times New Roman"/>
          <w:sz w:val="28"/>
          <w:szCs w:val="28"/>
        </w:rPr>
        <w:t xml:space="preserve">- препятствия в обеспечении территории городского округа градостроительной документацией: требует актуализации генеральный план, не </w:t>
      </w:r>
      <w:r w:rsidRPr="0082628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утверждены </w:t>
      </w:r>
      <w:r w:rsidRPr="0082628F">
        <w:rPr>
          <w:rFonts w:ascii="Times New Roman" w:eastAsia="Calibri" w:hAnsi="Times New Roman" w:cs="Times New Roman"/>
          <w:bCs/>
          <w:sz w:val="28"/>
          <w:szCs w:val="28"/>
        </w:rPr>
        <w:t>нормативы градостроительного проектирования городского округа.</w:t>
      </w:r>
    </w:p>
    <w:p w:rsidR="005D0F7F" w:rsidRDefault="00F4169A" w:rsidP="00F4169A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D6438">
        <w:rPr>
          <w:rFonts w:ascii="Times New Roman" w:hAnsi="Times New Roman" w:cs="Times New Roman"/>
          <w:sz w:val="28"/>
          <w:szCs w:val="28"/>
        </w:rPr>
        <w:t xml:space="preserve"> целях предоставления земельных участков гражданам, имеющим трех и более детей, разработаны проекты планировки </w:t>
      </w:r>
      <w:r w:rsidR="005D0F7F">
        <w:rPr>
          <w:rFonts w:ascii="Times New Roman" w:hAnsi="Times New Roman" w:cs="Times New Roman"/>
          <w:sz w:val="28"/>
          <w:szCs w:val="28"/>
        </w:rPr>
        <w:t xml:space="preserve">новых </w:t>
      </w:r>
      <w:r w:rsidRPr="008D6438">
        <w:rPr>
          <w:rFonts w:ascii="Times New Roman" w:hAnsi="Times New Roman" w:cs="Times New Roman"/>
          <w:sz w:val="28"/>
          <w:szCs w:val="28"/>
        </w:rPr>
        <w:t>территорий для индивидуального жилищного с</w:t>
      </w:r>
      <w:r>
        <w:rPr>
          <w:rFonts w:ascii="Times New Roman" w:hAnsi="Times New Roman" w:cs="Times New Roman"/>
          <w:sz w:val="28"/>
          <w:szCs w:val="28"/>
        </w:rPr>
        <w:t>троительства многодетным семьям</w:t>
      </w:r>
      <w:r w:rsidRPr="0008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«Малоэтажная жилая застройка </w:t>
      </w:r>
      <w:r w:rsidRPr="00E012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районе улицы 2-я Шевченко</w:t>
      </w:r>
      <w:r w:rsidRPr="0008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«Малоэтажная жилая застройка по шоссе </w:t>
      </w:r>
      <w:r w:rsidRPr="00E0122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Восточное», «Малоэтажная жилая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стройка в жилом районе Дальний».</w:t>
      </w:r>
    </w:p>
    <w:p w:rsidR="005D0F7F" w:rsidRDefault="00F4169A" w:rsidP="00F4169A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01227">
        <w:rPr>
          <w:rFonts w:ascii="Times New Roman" w:hAnsi="Times New Roman" w:cs="Times New Roman"/>
          <w:sz w:val="28"/>
          <w:szCs w:val="28"/>
        </w:rPr>
        <w:t xml:space="preserve"> 2015 году </w:t>
      </w:r>
      <w:r w:rsidRPr="00E0122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5D0F7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01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5D0F7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01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планировки </w:t>
      </w:r>
      <w:r w:rsidRPr="005D0F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застроенных территорий</w:t>
      </w:r>
      <w:r w:rsidR="005D0F7F" w:rsidRPr="005D0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Pr="00E01227">
        <w:rPr>
          <w:rFonts w:ascii="Times New Roman" w:eastAsia="Times New Roman" w:hAnsi="Times New Roman" w:cs="Times New Roman"/>
          <w:sz w:val="28"/>
          <w:szCs w:val="28"/>
          <w:lang w:eastAsia="ru-RU"/>
        </w:rPr>
        <w:t>«Группа смешанной жилой застройки в районе улицы Кутузова в Петропавловск-Камчатском городском округе»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проект планировки территории </w:t>
      </w:r>
      <w:r w:rsidRPr="0008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«Организация транспорта и улично-дорожной сети, размещение инженерных сетей и сооружений, благоустройство территории в районе улицы Академика Курчатова - </w:t>
      </w:r>
      <w:r w:rsidRPr="00E012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Космический проезд - проспект Циолковского в Петропавловск-Камчатском городском округе».</w:t>
      </w:r>
      <w:proofErr w:type="gramEnd"/>
    </w:p>
    <w:p w:rsidR="00F4169A" w:rsidRDefault="00F4169A" w:rsidP="00F4169A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планируется завершение </w:t>
      </w:r>
      <w:r w:rsidRPr="0008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2-го этапа работ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указанному про</w:t>
      </w:r>
      <w:r w:rsidRPr="0008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9A5A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A5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планировки территории и проекта межевания территории «Часть жилой застройки в районе 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9A5AA9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Рябиковская</w:t>
      </w:r>
      <w:proofErr w:type="spellEnd"/>
      <w:r w:rsidRPr="009A5AA9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Петропавловске-Камчатском городском округе»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1 этап</w:t>
      </w:r>
      <w:r w:rsidRPr="009A5A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6E7250" w:rsidRPr="006E7250" w:rsidRDefault="006E7250" w:rsidP="006E725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E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соблюдения положений статьи 56 Градостроительного кодекса РФ, предусматривающей наличие в муниципальных образованиях информационных систем обеспечения градостроительной деятельности,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</w:t>
      </w:r>
      <w:r w:rsidRPr="006E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тывается </w:t>
      </w:r>
      <w:r w:rsidRPr="006E7250">
        <w:rPr>
          <w:rFonts w:ascii="Times New Roman" w:eastAsia="Calibri" w:hAnsi="Times New Roman" w:cs="Times New Roman"/>
          <w:sz w:val="28"/>
          <w:szCs w:val="28"/>
        </w:rPr>
        <w:t xml:space="preserve">подсистема муниципальной геоинформационной системы администрации городского округа (далее - </w:t>
      </w:r>
      <w:r w:rsidRPr="006E725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ИСОГД)</w:t>
      </w:r>
      <w:r w:rsidRPr="006E725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6E72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725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2015-2016 годах произведена установка, настройка и адаптация базового и прикладного программного обеспечения ИСОГД.</w:t>
      </w:r>
      <w:r w:rsidRPr="006E7250"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Start"/>
      <w:r w:rsidRPr="006E7250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на основе </w:t>
      </w:r>
      <w:r w:rsidRPr="006E725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ИСОГД</w:t>
      </w:r>
      <w:r w:rsidRPr="006E7250">
        <w:rPr>
          <w:rFonts w:ascii="Times New Roman" w:eastAsia="Calibri" w:hAnsi="Times New Roman" w:cs="Times New Roman"/>
          <w:sz w:val="28"/>
          <w:szCs w:val="28"/>
        </w:rPr>
        <w:t xml:space="preserve"> ведется работа по систематизации свода документированных сведений о развитии территорий и их застройке, о земельных участках, об объектах капитального строительства и иной, необходимой для осуществления градостроительной деятельности документации, </w:t>
      </w:r>
      <w:r w:rsidRPr="006E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выполняются работы по </w:t>
      </w:r>
      <w:r w:rsidRPr="006E7250">
        <w:rPr>
          <w:rFonts w:ascii="Times New Roman" w:eastAsia="Calibri" w:hAnsi="Times New Roman" w:cs="Times New Roman"/>
          <w:sz w:val="28"/>
          <w:szCs w:val="28"/>
        </w:rPr>
        <w:t>с</w:t>
      </w:r>
      <w:r w:rsidRPr="006E7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озданию </w:t>
      </w:r>
      <w:r w:rsidRPr="006E7250">
        <w:rPr>
          <w:rFonts w:ascii="Times New Roman" w:eastAsia="Calibri" w:hAnsi="Times New Roman" w:cs="Times New Roman"/>
          <w:sz w:val="28"/>
          <w:szCs w:val="28"/>
        </w:rPr>
        <w:t xml:space="preserve">дежурного плана города и адресного реестра, проводятся работы по </w:t>
      </w:r>
      <w:r w:rsidRPr="006E7250">
        <w:rPr>
          <w:rFonts w:ascii="Calibri" w:eastAsia="Calibri" w:hAnsi="Calibri" w:cs="Times New Roman"/>
        </w:rPr>
        <w:t xml:space="preserve"> </w:t>
      </w:r>
      <w:r w:rsidRPr="006E72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обновлению топографических карт и планов.</w:t>
      </w:r>
      <w:proofErr w:type="gramEnd"/>
    </w:p>
    <w:p w:rsidR="005D0F7F" w:rsidRPr="005D0F7F" w:rsidRDefault="000335D0" w:rsidP="000335D0">
      <w:pPr>
        <w:spacing w:before="60" w:after="0"/>
        <w:rPr>
          <w:rFonts w:ascii="Times New Roman" w:eastAsia="Calibri" w:hAnsi="Times New Roman" w:cs="Times New Roman"/>
          <w:sz w:val="28"/>
          <w:szCs w:val="28"/>
        </w:rPr>
      </w:pPr>
      <w:r w:rsidRPr="000335D0">
        <w:rPr>
          <w:rFonts w:ascii="Times New Roman" w:eastAsia="Calibri" w:hAnsi="Times New Roman" w:cs="Times New Roman"/>
          <w:i/>
          <w:sz w:val="28"/>
          <w:szCs w:val="28"/>
        </w:rPr>
        <w:t>В прогнозируемом периоде</w:t>
      </w:r>
      <w:r w:rsidRPr="000335D0">
        <w:rPr>
          <w:rFonts w:ascii="Times New Roman" w:eastAsia="Calibri" w:hAnsi="Times New Roman" w:cs="Times New Roman"/>
          <w:sz w:val="28"/>
          <w:szCs w:val="28"/>
        </w:rPr>
        <w:t xml:space="preserve"> разработка и </w:t>
      </w:r>
      <w:r w:rsidR="005D0F7F" w:rsidRPr="000335D0">
        <w:rPr>
          <w:rFonts w:ascii="Times New Roman" w:eastAsia="Calibri" w:hAnsi="Times New Roman" w:cs="Times New Roman"/>
          <w:sz w:val="28"/>
          <w:szCs w:val="28"/>
        </w:rPr>
        <w:t>актуализация документов территориального планирования и градостроительного зонирования будет являться приоритетной задачей градостроительной политики городского округа.</w:t>
      </w:r>
    </w:p>
    <w:p w:rsidR="00723F45" w:rsidRDefault="000335D0" w:rsidP="000335D0">
      <w:pPr>
        <w:spacing w:after="0"/>
        <w:ind w:left="-113"/>
        <w:rPr>
          <w:rFonts w:ascii="Times New Roman" w:eastAsia="Calibri" w:hAnsi="Times New Roman" w:cs="Times New Roman"/>
          <w:sz w:val="28"/>
        </w:rPr>
      </w:pPr>
      <w:proofErr w:type="gramStart"/>
      <w:r w:rsidRPr="00A3491C">
        <w:rPr>
          <w:rFonts w:ascii="Times New Roman" w:eastAsia="Calibri" w:hAnsi="Times New Roman" w:cs="Times New Roman"/>
          <w:sz w:val="28"/>
        </w:rPr>
        <w:t>В 2017-2019 годах в целях формирования единой концепции застройки районов городского округа, максимально эффективного размещения в них объектов инфраструктуры и капитального строительства, а также для создания комфортных условий проживания горожан</w:t>
      </w:r>
      <w:r w:rsidR="000C6AE5">
        <w:rPr>
          <w:rFonts w:ascii="Times New Roman" w:eastAsia="Calibri" w:hAnsi="Times New Roman" w:cs="Times New Roman"/>
          <w:sz w:val="28"/>
        </w:rPr>
        <w:t>,</w:t>
      </w:r>
      <w:r w:rsidRPr="00A3491C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в соответствии с постановлением администрации городского округа от 06.04.2016 № 452 «Об элементах планировочной структуры в границах отдельных планировочных подрайонов</w:t>
      </w:r>
      <w:r w:rsidR="000C6AE5">
        <w:rPr>
          <w:rFonts w:ascii="Times New Roman" w:eastAsia="Calibri" w:hAnsi="Times New Roman" w:cs="Times New Roman"/>
          <w:sz w:val="28"/>
        </w:rPr>
        <w:t xml:space="preserve"> Петропавловск-Камчатского городского округа»,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="00D5765A">
        <w:rPr>
          <w:rFonts w:ascii="Times New Roman" w:eastAsia="Calibri" w:hAnsi="Times New Roman" w:cs="Times New Roman"/>
          <w:sz w:val="28"/>
        </w:rPr>
        <w:t>предполагается</w:t>
      </w:r>
      <w:r w:rsidR="00723F45">
        <w:rPr>
          <w:rFonts w:ascii="Times New Roman" w:eastAsia="Calibri" w:hAnsi="Times New Roman" w:cs="Times New Roman"/>
          <w:sz w:val="28"/>
        </w:rPr>
        <w:t>:</w:t>
      </w:r>
      <w:r w:rsidR="00D5765A">
        <w:rPr>
          <w:rFonts w:ascii="Times New Roman" w:eastAsia="Calibri" w:hAnsi="Times New Roman" w:cs="Times New Roman"/>
          <w:sz w:val="28"/>
        </w:rPr>
        <w:t xml:space="preserve"> </w:t>
      </w:r>
      <w:proofErr w:type="gramEnd"/>
    </w:p>
    <w:p w:rsidR="00793231" w:rsidRDefault="00B433AB" w:rsidP="00B433A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33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r w:rsidR="00793231" w:rsidRPr="00B433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разработка проекта планировки и проекта межевания</w:t>
      </w:r>
      <w:r w:rsidR="00793231" w:rsidRPr="00793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«Жилого района «Колхоз им. Ленина»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93231" w:rsidRPr="00793231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«Жилого района «Пограничный»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93231" w:rsidRPr="00793231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«Жилого района «Кирпичики»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93231" w:rsidRPr="00793231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«Жилого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йона «Юг» (квартал 5, квартал 7, </w:t>
      </w:r>
      <w:r w:rsidR="00793231" w:rsidRPr="00793231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«Жилого района «</w:t>
      </w:r>
      <w:proofErr w:type="spellStart"/>
      <w:r w:rsidR="00793231" w:rsidRPr="0079323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Богородско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озеро» (квартал 5, квартал 6), </w:t>
      </w:r>
      <w:r w:rsidR="00793231" w:rsidRPr="00793231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«Жилого района «Заозерный» (квартал 3, ква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ртал 4), «Жилого района «Долиновка»;</w:t>
      </w:r>
      <w:proofErr w:type="gramEnd"/>
    </w:p>
    <w:p w:rsidR="00B433AB" w:rsidRPr="00B433AB" w:rsidRDefault="00B149CA" w:rsidP="0038555C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323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93231">
        <w:rPr>
          <w:rFonts w:ascii="Times New Roman" w:hAnsi="Times New Roman" w:cs="Times New Roman"/>
          <w:sz w:val="28"/>
          <w:szCs w:val="28"/>
        </w:rPr>
        <w:t>р</w:t>
      </w:r>
      <w:r w:rsidR="00723F45" w:rsidRPr="00793231">
        <w:rPr>
          <w:rFonts w:ascii="Times New Roman" w:hAnsi="Times New Roman" w:cs="Times New Roman"/>
          <w:sz w:val="28"/>
          <w:szCs w:val="28"/>
        </w:rPr>
        <w:t>азработка проектов планировки территории и проектов межевания территорий на элементы планировочной структуры в границах отдельных планировочных районов и подрайонов</w:t>
      </w:r>
      <w:r w:rsidRPr="00793231">
        <w:rPr>
          <w:rFonts w:ascii="Times New Roman" w:hAnsi="Times New Roman" w:cs="Times New Roman"/>
          <w:sz w:val="28"/>
          <w:szCs w:val="28"/>
        </w:rPr>
        <w:t xml:space="preserve"> - Южный городской планировочный район, ул. Индустриальная</w:t>
      </w:r>
      <w:r w:rsidR="00B433AB">
        <w:rPr>
          <w:rFonts w:ascii="Times New Roman" w:hAnsi="Times New Roman" w:cs="Times New Roman"/>
          <w:sz w:val="28"/>
          <w:szCs w:val="28"/>
        </w:rPr>
        <w:t xml:space="preserve"> (выделение и формирование кварталов, р</w:t>
      </w:r>
      <w:r w:rsidR="00B433AB" w:rsidRPr="00B433AB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азработк</w:t>
      </w:r>
      <w:r w:rsidR="00B433A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433AB" w:rsidRPr="00B4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планировки территории района ул. Приморской</w:t>
      </w:r>
      <w:r w:rsidR="00B4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433AB" w:rsidRPr="00B433A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</w:t>
      </w:r>
      <w:r w:rsidR="00B4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</w:t>
      </w:r>
      <w:r w:rsidR="00B433AB" w:rsidRPr="00B4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Зона</w:t>
      </w:r>
      <w:r w:rsidR="00B4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</w:t>
      </w:r>
      <w:r w:rsidR="00B433AB" w:rsidRPr="00B433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B433AB" w:rsidRPr="00B433A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3</w:t>
      </w:r>
      <w:r w:rsidR="00B433A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proofErr w:type="gramEnd"/>
    </w:p>
    <w:p w:rsidR="0038555C" w:rsidRPr="0038555C" w:rsidRDefault="00F7506A" w:rsidP="0038555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р</w:t>
      </w:r>
      <w:r w:rsidRPr="00F7506A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F7506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роектов межевания территорий на следующие элементы планировочной структуры в границах отдельных планировочных подрайонов:</w:t>
      </w:r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жилой район «Совхозные поля» (разработка проекта межевания района Горизонт - Север, Зона 1, Зона 2);</w:t>
      </w:r>
      <w:r w:rsid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жилой район «Совхозные поля» (Горизонт-Юг, Зона 1, Зона 2);</w:t>
      </w:r>
      <w:r w:rsid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жилой район «Северо-Восток» (Зона 1, Зона 2, Зона 3, Зона 4);</w:t>
      </w:r>
      <w:proofErr w:type="gramEnd"/>
      <w:r w:rsid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жилой район «</w:t>
      </w:r>
      <w:proofErr w:type="spellStart"/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Вулканный</w:t>
      </w:r>
      <w:proofErr w:type="spellEnd"/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проекта межевания района ул. </w:t>
      </w:r>
      <w:proofErr w:type="spellStart"/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Карбышева</w:t>
      </w:r>
      <w:proofErr w:type="spellEnd"/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ул. Флотская (Зона 1); пр.</w:t>
      </w:r>
      <w:proofErr w:type="gramEnd"/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Победы - ул. </w:t>
      </w:r>
      <w:proofErr w:type="spellStart"/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Карбышева</w:t>
      </w:r>
      <w:proofErr w:type="spellEnd"/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(Зона 2); </w:t>
      </w:r>
      <w:r w:rsid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пр. Победы – ул. Молчанова (Квартал 6); пр. Победы – ул. </w:t>
      </w:r>
      <w:proofErr w:type="gramStart"/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Кавказская</w:t>
      </w:r>
      <w:proofErr w:type="gramEnd"/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38555C" w:rsidRPr="0038555C">
        <w:rPr>
          <w:rFonts w:ascii="Times New Roman" w:eastAsia="Times New Roman" w:hAnsi="Times New Roman" w:cs="Times New Roman"/>
          <w:sz w:val="28"/>
          <w:szCs w:val="28"/>
          <w:lang w:eastAsia="ru-RU"/>
        </w:rPr>
        <w:t>(Квартал 8).</w:t>
      </w:r>
    </w:p>
    <w:p w:rsidR="0038555C" w:rsidRDefault="00721BA3" w:rsidP="0038555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692EEC" w:rsidRPr="00497692">
        <w:rPr>
          <w:rFonts w:ascii="Times New Roman" w:hAnsi="Times New Roman" w:cs="Times New Roman"/>
          <w:sz w:val="28"/>
          <w:szCs w:val="28"/>
        </w:rPr>
        <w:t>проектов планировки территории</w:t>
      </w:r>
      <w:r w:rsidR="00BB55E7">
        <w:rPr>
          <w:rFonts w:ascii="Times New Roman" w:hAnsi="Times New Roman" w:cs="Times New Roman"/>
          <w:sz w:val="28"/>
          <w:szCs w:val="28"/>
        </w:rPr>
        <w:t xml:space="preserve"> </w:t>
      </w:r>
      <w:r w:rsidR="00692EEC" w:rsidRPr="00497692">
        <w:rPr>
          <w:rFonts w:ascii="Times New Roman" w:hAnsi="Times New Roman" w:cs="Times New Roman"/>
          <w:sz w:val="28"/>
          <w:szCs w:val="28"/>
        </w:rPr>
        <w:t>позволит формировать и предоставлять земельные участки для освоения под жилищное строительство и развитие социальной, транспортной и инженерной инфраструктуры, резервировать земельные участки для муниципальных нужд</w:t>
      </w:r>
      <w:r w:rsidR="00692EEC">
        <w:rPr>
          <w:rFonts w:ascii="Times New Roman" w:hAnsi="Times New Roman" w:cs="Times New Roman"/>
          <w:sz w:val="28"/>
          <w:szCs w:val="28"/>
        </w:rPr>
        <w:t>.</w:t>
      </w:r>
    </w:p>
    <w:p w:rsidR="00BB6E1A" w:rsidRDefault="00D7115B" w:rsidP="00BB55E7">
      <w:pPr>
        <w:pStyle w:val="1"/>
        <w:spacing w:before="240" w:after="240"/>
        <w:rPr>
          <w:lang w:eastAsia="ru-RU"/>
        </w:rPr>
      </w:pPr>
      <w:bookmarkStart w:id="31" w:name="_Toc465927689"/>
      <w:r>
        <w:rPr>
          <w:lang w:eastAsia="ru-RU"/>
        </w:rPr>
        <w:t xml:space="preserve">5. </w:t>
      </w:r>
      <w:r w:rsidR="00BB6E1A">
        <w:rPr>
          <w:lang w:eastAsia="ru-RU"/>
        </w:rPr>
        <w:t>Жилищная политика</w:t>
      </w:r>
      <w:bookmarkEnd w:id="31"/>
    </w:p>
    <w:p w:rsidR="001C7AA2" w:rsidRDefault="001C7AA2" w:rsidP="001C7AA2">
      <w:pPr>
        <w:autoSpaceDE w:val="0"/>
        <w:autoSpaceDN w:val="0"/>
        <w:adjustRightInd w:val="0"/>
        <w:spacing w:after="0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настоящее время д</w:t>
      </w:r>
      <w:r w:rsidRPr="0056203D">
        <w:rPr>
          <w:rFonts w:ascii="Times New Roman" w:hAnsi="Times New Roman"/>
          <w:sz w:val="28"/>
          <w:szCs w:val="28"/>
        </w:rPr>
        <w:t xml:space="preserve">еятельность администрации городского округа в сфере жилищной политики направлена на улучшение состояния жилищного фонда городского округа, обеспечение доступности жилья для всех категорий граждан и на создание комфортных, безопасных условий проживания граждан на территории городского округа. </w:t>
      </w:r>
      <w:proofErr w:type="gramEnd"/>
    </w:p>
    <w:p w:rsidR="002A62B2" w:rsidRDefault="00346D85" w:rsidP="001C7AA2">
      <w:pPr>
        <w:pStyle w:val="Standard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2015 году в результате ухудшения финансового состояния организаций - застройщиков, </w:t>
      </w:r>
      <w:r>
        <w:rPr>
          <w:rFonts w:ascii="Times New Roman" w:hAnsi="Times New Roman" w:cs="Times New Roman"/>
          <w:sz w:val="28"/>
          <w:szCs w:val="28"/>
        </w:rPr>
        <w:t>увеличения стоимости строительных материалов и тарифов на их перевозку,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недостатка бюджетного финансирования ввод в эксплуатацию жилых домов составил 70,1 % к 2014 году (41,642 тыс. кв. метров общей площади жилых домов). </w:t>
      </w:r>
      <w:r w:rsidR="002A62B2">
        <w:rPr>
          <w:rFonts w:ascii="Times New Roman" w:eastAsia="Calibri" w:hAnsi="Times New Roman" w:cs="Times New Roman"/>
          <w:sz w:val="28"/>
          <w:szCs w:val="28"/>
        </w:rPr>
        <w:t>В общем вводе жилья доля индивидуальных застройщиков составил</w:t>
      </w:r>
      <w:r w:rsidR="00B20807">
        <w:rPr>
          <w:rFonts w:ascii="Times New Roman" w:eastAsia="Calibri" w:hAnsi="Times New Roman" w:cs="Times New Roman"/>
          <w:sz w:val="28"/>
          <w:szCs w:val="28"/>
        </w:rPr>
        <w:t>а</w:t>
      </w:r>
      <w:r w:rsidR="002A62B2">
        <w:rPr>
          <w:rFonts w:ascii="Times New Roman" w:eastAsia="Calibri" w:hAnsi="Times New Roman" w:cs="Times New Roman"/>
          <w:sz w:val="28"/>
          <w:szCs w:val="28"/>
        </w:rPr>
        <w:t xml:space="preserve"> 40,3 %.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BB6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жителя за год введено 0,23 кв. метров нового жилья.</w:t>
      </w:r>
    </w:p>
    <w:p w:rsidR="00346D85" w:rsidRDefault="00346D85" w:rsidP="00DE3FC8">
      <w:pPr>
        <w:pStyle w:val="Standard"/>
        <w:spacing w:after="0"/>
      </w:pPr>
      <w:r>
        <w:rPr>
          <w:rFonts w:ascii="Times New Roman" w:eastAsia="Calibri" w:hAnsi="Times New Roman" w:cs="Times New Roman"/>
          <w:sz w:val="28"/>
          <w:szCs w:val="28"/>
        </w:rPr>
        <w:t>По состоянию на 01.01.2016 обеспеченность населения городского округа жильем составила 24,7 квадратных метров на каждого жителя.</w:t>
      </w:r>
    </w:p>
    <w:p w:rsidR="00FA178A" w:rsidRDefault="00AB711B" w:rsidP="00CC68D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году введены в эксплуатацию </w:t>
      </w:r>
      <w:r w:rsidR="002A62B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домов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(из запланированных 9</w:t>
      </w:r>
      <w:r w:rsidRPr="002510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домов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районе Северо-Восточного шоссе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12,1 тыс. кв. метров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219 квартир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предназначенных</w:t>
      </w:r>
      <w:r w:rsidRPr="006169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переселения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жильцов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жилых домов,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сейсмоусиление</w:t>
      </w:r>
      <w:proofErr w:type="spellEnd"/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реконструкция которых экономически нецелесообразны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Строительство велось в рамках государственной программы Камчатского края </w:t>
      </w:r>
      <w:r w:rsidRPr="00F502A2">
        <w:rPr>
          <w:rFonts w:ascii="Times New Roman" w:eastAsia="Calibri" w:hAnsi="Times New Roman" w:cs="Times New Roman"/>
          <w:sz w:val="28"/>
          <w:szCs w:val="28"/>
        </w:rPr>
        <w:t>«Обеспечение доступным и комфортным жильем жителей Камчатского края на 2014-2018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68DD" w:rsidRDefault="00F61AB9" w:rsidP="00CC68DD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 году</w:t>
      </w:r>
      <w:r w:rsidR="002A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ввод в эксплуатацию оставшихся 4 жилых домов общей площадью 16,7 тыс. кв. метров</w:t>
      </w:r>
      <w:r w:rsidR="002B0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0CEE" w:rsidRPr="00840CEE" w:rsidRDefault="00840CEE" w:rsidP="00840C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2016 году продолжилась реализация мероприятий по развитию жилищного строительства, переселению граждан из непригодного и аварийного жилищного фонда, обеспечению жильем молодых семей.</w:t>
      </w:r>
    </w:p>
    <w:p w:rsidR="00840CEE" w:rsidRPr="00840CEE" w:rsidRDefault="00840CEE" w:rsidP="00840C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итогам года предполагается улучшить жилищные условия 110 молодым семьям с использованием социальных выплат на приобретение или строительство жилья, обеспечить квартирами 67 детей сирот и детей, оставшихся без попечения родителей.</w:t>
      </w:r>
    </w:p>
    <w:p w:rsidR="00840CEE" w:rsidRDefault="00840CEE" w:rsidP="00840C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в новое благоустроенное жилье планируется переселить 219 семей из домов, не подлежащих сейсмоусилению, 19 семей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40C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непригодного и аварийного жилищного ф</w:t>
      </w:r>
      <w:r w:rsidR="002B0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онда, запланирована ликвидация </w:t>
      </w:r>
      <w:r w:rsidRPr="00840CEE">
        <w:rPr>
          <w:rFonts w:ascii="Times New Roman" w:eastAsia="Times New Roman" w:hAnsi="Times New Roman" w:cs="Times New Roman"/>
          <w:sz w:val="28"/>
          <w:szCs w:val="28"/>
          <w:lang w:eastAsia="ru-RU"/>
        </w:rPr>
        <w:t>9,61</w:t>
      </w:r>
      <w:r w:rsidR="00A3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0CE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кв. метров (17 домов) непригодного и аварийного жилищного фонда</w:t>
      </w:r>
      <w:r w:rsidR="002B0F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68A2" w:rsidRDefault="00654852" w:rsidP="008768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 оценке, ввод жилья в эксплуатацию в 2016 году составит 39,16 тыс. кв. метров</w:t>
      </w:r>
      <w:r w:rsidR="008768A2">
        <w:rPr>
          <w:rFonts w:ascii="Times New Roman" w:hAnsi="Times New Roman" w:cs="Times New Roman"/>
          <w:sz w:val="28"/>
          <w:szCs w:val="28"/>
        </w:rPr>
        <w:t xml:space="preserve">, </w:t>
      </w:r>
      <w:r w:rsidR="00B20807">
        <w:rPr>
          <w:rFonts w:ascii="Times New Roman" w:eastAsia="Calibri" w:hAnsi="Times New Roman" w:cs="Times New Roman"/>
          <w:sz w:val="28"/>
          <w:szCs w:val="28"/>
        </w:rPr>
        <w:t>доля индивидуальных застройщиков составит 19,6 %.</w:t>
      </w:r>
      <w:r w:rsidR="008768A2" w:rsidRPr="00876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68A2" w:rsidRDefault="008768A2" w:rsidP="002B0FBE">
      <w:pPr>
        <w:spacing w:before="6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Планируемая динамика ввода жилья на 2017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1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годы определитс</w:t>
      </w:r>
      <w:r w:rsidRPr="005C5C3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объемами</w:t>
      </w:r>
      <w:r w:rsidRPr="00D23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3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жилья</w:t>
      </w:r>
      <w:r w:rsidRPr="00D23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r w:rsidRPr="00846163">
        <w:rPr>
          <w:rFonts w:ascii="Times New Roman" w:hAnsi="Times New Roman" w:cs="Times New Roman"/>
          <w:sz w:val="28"/>
          <w:szCs w:val="28"/>
        </w:rPr>
        <w:t>государственной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46163">
        <w:rPr>
          <w:rFonts w:ascii="Times New Roman" w:hAnsi="Times New Roman" w:cs="Times New Roman"/>
          <w:sz w:val="28"/>
          <w:szCs w:val="28"/>
        </w:rPr>
        <w:t xml:space="preserve"> Камчатского края «</w:t>
      </w:r>
      <w:r w:rsidRPr="00846163">
        <w:rPr>
          <w:rFonts w:ascii="Times New Roman" w:eastAsia="Calibri" w:hAnsi="Times New Roman" w:cs="Times New Roman"/>
          <w:sz w:val="28"/>
          <w:szCs w:val="28"/>
        </w:rPr>
        <w:t>Обеспечение доступным и комфортным жильем жителей Камчатского края»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муниципальной программы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доступным и комфортным жильем жителей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Петропавловск-Камчатского </w:t>
      </w:r>
      <w:r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строительством жилых домов,</w:t>
      </w:r>
      <w:r w:rsidRPr="00B43201">
        <w:t xml:space="preserve"> </w:t>
      </w:r>
      <w:r w:rsidRPr="00B432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застройщиками которых являются юридические и физические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768A2" w:rsidRDefault="008768A2" w:rsidP="008768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 в эксплуатацию жилых домов ожидается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68A2" w:rsidRDefault="008768A2" w:rsidP="008768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арианту 1 Прогноза: в 2017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39,74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</w:t>
      </w:r>
      <w:r w:rsidRPr="00BB5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101,5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2016 году); в 2018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- 42,0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105,8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2017 году); в 2019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44,92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106,9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2018 году);</w:t>
      </w:r>
      <w:proofErr w:type="gramEnd"/>
    </w:p>
    <w:p w:rsidR="008768A2" w:rsidRPr="00D2341C" w:rsidRDefault="008768A2" w:rsidP="008768A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арианту 2 Прогноза: в 2017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44,92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114,7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2016 году); в 2018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-50,8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113,1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2017 году); в 2019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- 58,3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114,8</w:t>
      </w:r>
      <w:r w:rsidRPr="003D6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2018 году).</w:t>
      </w:r>
      <w:proofErr w:type="gramEnd"/>
    </w:p>
    <w:p w:rsidR="00AB711B" w:rsidRPr="00662546" w:rsidRDefault="00AB711B" w:rsidP="00CC68DD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62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Основными проблемами, тормозящими развитие жилищной сферы </w:t>
      </w:r>
      <w:r w:rsidRPr="00662546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городского округа</w:t>
      </w:r>
      <w:r w:rsidRPr="00662546">
        <w:rPr>
          <w:rFonts w:ascii="Times New Roman" w:eastAsia="Calibri" w:hAnsi="Times New Roman" w:cs="Times New Roman"/>
          <w:sz w:val="28"/>
          <w:szCs w:val="28"/>
          <w:lang w:eastAsia="ru-RU"/>
        </w:rPr>
        <w:t>, являются:</w:t>
      </w:r>
    </w:p>
    <w:p w:rsidR="00AB711B" w:rsidRPr="0096764A" w:rsidRDefault="00AB711B" w:rsidP="00CC68D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96764A">
        <w:rPr>
          <w:rFonts w:ascii="Times New Roman" w:hAnsi="Times New Roman" w:cs="Times New Roman"/>
          <w:sz w:val="28"/>
          <w:szCs w:val="28"/>
        </w:rPr>
        <w:t>нехватка</w:t>
      </w:r>
      <w:proofErr w:type="gramEnd"/>
      <w:r w:rsidRPr="0096764A">
        <w:rPr>
          <w:rFonts w:ascii="Times New Roman" w:hAnsi="Times New Roman" w:cs="Times New Roman"/>
          <w:sz w:val="28"/>
          <w:szCs w:val="28"/>
        </w:rPr>
        <w:t xml:space="preserve"> земельных участков под строительство </w:t>
      </w:r>
      <w:r w:rsidR="00FA178A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96764A">
        <w:rPr>
          <w:rFonts w:ascii="Times New Roman" w:hAnsi="Times New Roman" w:cs="Times New Roman"/>
          <w:sz w:val="28"/>
          <w:szCs w:val="28"/>
        </w:rPr>
        <w:t>жилья, обеспеченных инженерными коммуникациями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711B" w:rsidRDefault="00AB711B" w:rsidP="00CC68DD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662546">
        <w:rPr>
          <w:rFonts w:ascii="Times New Roman" w:eastAsia="Calibri" w:hAnsi="Times New Roman" w:cs="Times New Roman"/>
          <w:sz w:val="28"/>
          <w:szCs w:val="28"/>
          <w:lang w:eastAsia="ru-RU"/>
        </w:rPr>
        <w:t>неразвитая инженерная инфраструктур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62546">
        <w:rPr>
          <w:rFonts w:ascii="Times New Roman" w:eastAsia="Calibri" w:hAnsi="Times New Roman" w:cs="Times New Roman"/>
          <w:sz w:val="28"/>
          <w:szCs w:val="28"/>
          <w:lang w:eastAsia="ru-RU"/>
        </w:rPr>
        <w:t>, устаревшие инженерные коммуникации;</w:t>
      </w:r>
    </w:p>
    <w:p w:rsidR="00AB711B" w:rsidRDefault="00AB711B" w:rsidP="00CC68DD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отсутствие проектной документации на всю территори</w:t>
      </w:r>
      <w:r w:rsidR="0055048B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городского округа</w:t>
      </w:r>
      <w:r w:rsidR="0055048B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связи с недостаточным финансированием; </w:t>
      </w:r>
    </w:p>
    <w:p w:rsidR="00AB711B" w:rsidRPr="0096764A" w:rsidRDefault="00AB711B" w:rsidP="00CC68D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6764A">
        <w:rPr>
          <w:rFonts w:ascii="Times New Roman" w:hAnsi="Times New Roman" w:cs="Times New Roman"/>
          <w:sz w:val="28"/>
          <w:szCs w:val="28"/>
        </w:rPr>
        <w:t xml:space="preserve">- высокая доля аварийного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6764A">
        <w:rPr>
          <w:rFonts w:ascii="Times New Roman" w:hAnsi="Times New Roman" w:cs="Times New Roman"/>
          <w:sz w:val="28"/>
          <w:szCs w:val="28"/>
        </w:rPr>
        <w:t>непригодного для проживания</w:t>
      </w:r>
      <w:r w:rsidRPr="00FA670C">
        <w:rPr>
          <w:rFonts w:ascii="Times New Roman" w:hAnsi="Times New Roman" w:cs="Times New Roman"/>
          <w:sz w:val="28"/>
          <w:szCs w:val="28"/>
        </w:rPr>
        <w:t xml:space="preserve"> </w:t>
      </w:r>
      <w:r w:rsidRPr="0096764A">
        <w:rPr>
          <w:rFonts w:ascii="Times New Roman" w:hAnsi="Times New Roman" w:cs="Times New Roman"/>
          <w:sz w:val="28"/>
          <w:szCs w:val="28"/>
        </w:rPr>
        <w:t>жи</w:t>
      </w:r>
      <w:r>
        <w:rPr>
          <w:rFonts w:ascii="Times New Roman" w:hAnsi="Times New Roman" w:cs="Times New Roman"/>
          <w:sz w:val="28"/>
          <w:szCs w:val="28"/>
        </w:rPr>
        <w:t>лищного фонда</w:t>
      </w:r>
      <w:r w:rsidRPr="009676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жилых домов </w:t>
      </w:r>
      <w:r w:rsidRPr="0096764A">
        <w:rPr>
          <w:rFonts w:ascii="Times New Roman" w:hAnsi="Times New Roman" w:cs="Times New Roman"/>
          <w:sz w:val="28"/>
          <w:szCs w:val="28"/>
        </w:rPr>
        <w:t>с дефицитом сейсмостойкости;</w:t>
      </w:r>
    </w:p>
    <w:p w:rsidR="00AB711B" w:rsidRPr="00662546" w:rsidRDefault="00AB711B" w:rsidP="00CC68DD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662546">
        <w:rPr>
          <w:rFonts w:ascii="Times New Roman" w:eastAsia="Calibri" w:hAnsi="Times New Roman" w:cs="Times New Roman"/>
          <w:sz w:val="28"/>
          <w:szCs w:val="28"/>
          <w:lang w:eastAsia="ru-RU"/>
        </w:rPr>
        <w:t>низкий платежеспособный спрос населения (в том числе высокие ставки процентов по кредитам);</w:t>
      </w:r>
    </w:p>
    <w:p w:rsidR="00AB711B" w:rsidRPr="00662546" w:rsidRDefault="00AB711B" w:rsidP="00AB711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662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структура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стоимость </w:t>
      </w:r>
      <w:r w:rsidRPr="00662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жилья не в полной мере отвечает актуальным потребностям населения (дефицит доступного с достаточным количеством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66254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66254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62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-комнатных квартир для предоставления различным категориям граждан в рамках реализации федеральных </w:t>
      </w:r>
      <w:r w:rsidR="00A352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государственных </w:t>
      </w:r>
      <w:r w:rsidRPr="00662546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программ).</w:t>
      </w:r>
    </w:p>
    <w:p w:rsidR="000955A9" w:rsidRPr="00822143" w:rsidRDefault="000955A9" w:rsidP="000955A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F65B4">
        <w:rPr>
          <w:rFonts w:ascii="Times New Roman" w:eastAsia="Calibri" w:hAnsi="Times New Roman" w:cs="Times New Roman"/>
          <w:sz w:val="28"/>
          <w:szCs w:val="28"/>
        </w:rPr>
        <w:t>В целях</w:t>
      </w:r>
      <w:r w:rsidRPr="00DD2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D226D">
        <w:rPr>
          <w:rFonts w:ascii="Times New Roman" w:eastAsia="Times New Roman" w:hAnsi="Times New Roman" w:cs="Times New Roman"/>
          <w:bCs/>
          <w:sz w:val="28"/>
          <w:szCs w:val="28"/>
        </w:rPr>
        <w:t>стимулирования развития жилищного строительства</w:t>
      </w:r>
      <w:r w:rsidRPr="00DD2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2143">
        <w:rPr>
          <w:rFonts w:ascii="Times New Roman" w:eastAsia="Calibri" w:hAnsi="Times New Roman" w:cs="Times New Roman"/>
          <w:sz w:val="28"/>
          <w:szCs w:val="28"/>
        </w:rPr>
        <w:t>планируется реализация мероприятий по двум напр</w:t>
      </w:r>
      <w:r w:rsidR="00244F88">
        <w:rPr>
          <w:rFonts w:ascii="Times New Roman" w:eastAsia="Calibri" w:hAnsi="Times New Roman" w:cs="Times New Roman"/>
          <w:sz w:val="28"/>
          <w:szCs w:val="28"/>
        </w:rPr>
        <w:t>а</w:t>
      </w:r>
      <w:r w:rsidR="00822143">
        <w:rPr>
          <w:rFonts w:ascii="Times New Roman" w:eastAsia="Calibri" w:hAnsi="Times New Roman" w:cs="Times New Roman"/>
          <w:sz w:val="28"/>
          <w:szCs w:val="28"/>
        </w:rPr>
        <w:t>влениям:</w:t>
      </w:r>
      <w:r w:rsidR="00822143" w:rsidRPr="0082214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690C" w:rsidRPr="007230D0" w:rsidRDefault="00244F88" w:rsidP="000955A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955A9" w:rsidRPr="00233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5A9" w:rsidRPr="007230D0">
        <w:rPr>
          <w:rFonts w:ascii="Times New Roman" w:eastAsia="Calibri" w:hAnsi="Times New Roman" w:cs="Times New Roman"/>
          <w:i/>
          <w:sz w:val="28"/>
          <w:szCs w:val="28"/>
        </w:rPr>
        <w:t>обеспечени</w:t>
      </w:r>
      <w:r w:rsidR="00B20807" w:rsidRPr="007230D0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0955A9" w:rsidRPr="007230D0">
        <w:rPr>
          <w:rFonts w:ascii="Times New Roman" w:eastAsia="Calibri" w:hAnsi="Times New Roman" w:cs="Times New Roman"/>
          <w:i/>
          <w:sz w:val="28"/>
          <w:szCs w:val="28"/>
        </w:rPr>
        <w:t xml:space="preserve"> инженерной инфраструктурой перспективных земельных участков (площадок) под строительство </w:t>
      </w:r>
      <w:r w:rsidR="00B20807" w:rsidRPr="007230D0">
        <w:rPr>
          <w:rFonts w:ascii="Times New Roman" w:eastAsia="Calibri" w:hAnsi="Times New Roman" w:cs="Times New Roman"/>
          <w:i/>
          <w:sz w:val="28"/>
          <w:szCs w:val="28"/>
        </w:rPr>
        <w:t xml:space="preserve">социального жилья </w:t>
      </w:r>
      <w:r w:rsidR="000955A9" w:rsidRPr="007230D0">
        <w:rPr>
          <w:rFonts w:ascii="Times New Roman" w:eastAsia="Calibri" w:hAnsi="Times New Roman" w:cs="Times New Roman"/>
          <w:i/>
          <w:sz w:val="28"/>
          <w:szCs w:val="28"/>
        </w:rPr>
        <w:t xml:space="preserve">на территории </w:t>
      </w:r>
      <w:r w:rsidR="00B20807" w:rsidRPr="007230D0">
        <w:rPr>
          <w:rFonts w:ascii="Times New Roman" w:eastAsia="Calibri" w:hAnsi="Times New Roman" w:cs="Times New Roman"/>
          <w:i/>
          <w:sz w:val="28"/>
          <w:szCs w:val="28"/>
        </w:rPr>
        <w:t xml:space="preserve">городского </w:t>
      </w:r>
      <w:r w:rsidR="000955A9" w:rsidRPr="007230D0">
        <w:rPr>
          <w:rFonts w:ascii="Times New Roman" w:eastAsia="Calibri" w:hAnsi="Times New Roman" w:cs="Times New Roman"/>
          <w:i/>
          <w:sz w:val="28"/>
          <w:szCs w:val="28"/>
        </w:rPr>
        <w:t>округа</w:t>
      </w:r>
      <w:r w:rsidR="000955A9" w:rsidRPr="007230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1628EA" w:rsidRDefault="00244F88" w:rsidP="005C690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 год</w:t>
      </w:r>
      <w:r w:rsidR="00CB6A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7FE" w:rsidRPr="007E6152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завершено строительство модульной трансформатор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подстанции по ул. </w:t>
      </w:r>
      <w:proofErr w:type="gramStart"/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</w:t>
      </w:r>
      <w:proofErr w:type="gramEnd"/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C690C" w:rsidRPr="000955A9">
        <w:rPr>
          <w:rFonts w:ascii="Times New Roman" w:eastAsia="Calibri" w:hAnsi="Times New Roman" w:cs="Times New Roman"/>
          <w:sz w:val="28"/>
          <w:szCs w:val="28"/>
        </w:rPr>
        <w:t>объекта</w:t>
      </w:r>
      <w:r w:rsidR="005C690C" w:rsidRPr="00233E0E">
        <w:rPr>
          <w:rFonts w:ascii="Times New Roman" w:eastAsia="Calibri" w:hAnsi="Times New Roman" w:cs="Times New Roman"/>
          <w:sz w:val="28"/>
          <w:szCs w:val="28"/>
        </w:rPr>
        <w:t xml:space="preserve"> «Внеплощадочные сети в 110 квартале гор</w:t>
      </w:r>
      <w:r w:rsidR="005C690C">
        <w:rPr>
          <w:rFonts w:ascii="Times New Roman" w:eastAsia="Calibri" w:hAnsi="Times New Roman" w:cs="Times New Roman"/>
          <w:sz w:val="28"/>
          <w:szCs w:val="28"/>
        </w:rPr>
        <w:t>ода Петропавловска-Камчатского».</w:t>
      </w:r>
    </w:p>
    <w:p w:rsidR="005C690C" w:rsidRPr="002B2563" w:rsidRDefault="000955A9" w:rsidP="005C6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D2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2016 году </w:t>
      </w:r>
      <w:r w:rsidRPr="005C690C">
        <w:rPr>
          <w:rFonts w:ascii="Times New Roman" w:eastAsia="Calibri" w:hAnsi="Times New Roman" w:cs="Times New Roman"/>
          <w:sz w:val="28"/>
          <w:szCs w:val="28"/>
        </w:rPr>
        <w:t xml:space="preserve">планируется </w:t>
      </w:r>
      <w:r w:rsidR="005C690C" w:rsidRPr="005C690C">
        <w:rPr>
          <w:rFonts w:ascii="Times New Roman" w:eastAsia="Calibri" w:hAnsi="Times New Roman" w:cs="Times New Roman"/>
          <w:sz w:val="28"/>
          <w:szCs w:val="28"/>
        </w:rPr>
        <w:t xml:space="preserve">ввести в строй </w:t>
      </w:r>
      <w:r w:rsidR="005C690C" w:rsidRPr="00233E0E">
        <w:rPr>
          <w:rFonts w:ascii="Times New Roman" w:eastAsia="Calibri" w:hAnsi="Times New Roman" w:cs="Times New Roman"/>
          <w:sz w:val="28"/>
          <w:szCs w:val="28"/>
        </w:rPr>
        <w:t>объект «Центральный тепловой пункт мощностью 30 Гкал/час и тепловых сетей I контура от котельной № 1 до центрального теплового пункта в 110 квартале»</w:t>
      </w:r>
      <w:r w:rsidR="005C690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A62ABE">
        <w:rPr>
          <w:rFonts w:ascii="Times New Roman" w:eastAsia="Calibri" w:hAnsi="Times New Roman" w:cs="Times New Roman"/>
          <w:sz w:val="28"/>
          <w:szCs w:val="28"/>
        </w:rPr>
        <w:t>канализационн</w:t>
      </w:r>
      <w:r w:rsidR="005C690C">
        <w:rPr>
          <w:rFonts w:ascii="Times New Roman" w:eastAsia="Calibri" w:hAnsi="Times New Roman" w:cs="Times New Roman"/>
          <w:sz w:val="28"/>
          <w:szCs w:val="28"/>
        </w:rPr>
        <w:t>ую насосную</w:t>
      </w:r>
      <w:r w:rsidRPr="00A62ABE">
        <w:rPr>
          <w:rFonts w:ascii="Times New Roman" w:eastAsia="Calibri" w:hAnsi="Times New Roman" w:cs="Times New Roman"/>
          <w:sz w:val="28"/>
          <w:szCs w:val="28"/>
        </w:rPr>
        <w:t xml:space="preserve"> станци</w:t>
      </w:r>
      <w:r w:rsidR="005C690C">
        <w:rPr>
          <w:rFonts w:ascii="Times New Roman" w:eastAsia="Calibri" w:hAnsi="Times New Roman" w:cs="Times New Roman"/>
          <w:sz w:val="28"/>
          <w:szCs w:val="28"/>
        </w:rPr>
        <w:t>ю</w:t>
      </w:r>
      <w:r w:rsidR="00DD226D">
        <w:rPr>
          <w:rFonts w:ascii="Times New Roman" w:eastAsia="Calibri" w:hAnsi="Times New Roman" w:cs="Times New Roman"/>
          <w:sz w:val="28"/>
          <w:szCs w:val="28"/>
        </w:rPr>
        <w:t xml:space="preserve"> №15.</w:t>
      </w:r>
      <w:r w:rsidR="005504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2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C690C"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D226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690C"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находится </w:t>
      </w:r>
      <w:r w:rsidR="005C690C"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</w:t>
      </w:r>
      <w:r w:rsidR="00DD226D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5C690C" w:rsidRPr="00DB2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</w:t>
      </w:r>
      <w:r w:rsidR="00DD226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объектов</w:t>
      </w:r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ПС 110/10 </w:t>
      </w:r>
      <w:proofErr w:type="spellStart"/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Молодежная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ПС 110/10 </w:t>
      </w:r>
      <w:proofErr w:type="spellStart"/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>Тундровая</w:t>
      </w:r>
      <w:r w:rsidR="001628EA">
        <w:rPr>
          <w:rFonts w:ascii="Times New Roman" w:eastAsia="Times New Roman" w:hAnsi="Times New Roman" w:cs="Times New Roman"/>
          <w:sz w:val="28"/>
          <w:szCs w:val="28"/>
          <w:lang w:eastAsia="ru-RU"/>
        </w:rPr>
        <w:t>». С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троительства объектов</w:t>
      </w:r>
      <w:r w:rsidR="00162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начать в среднесрочном периоде,</w:t>
      </w:r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получения положительного </w:t>
      </w:r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ударственной </w:t>
      </w:r>
      <w:r w:rsidR="005C690C" w:rsidRPr="008857E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экспертизы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C690C" w:rsidRPr="002B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</w:t>
      </w:r>
      <w:r w:rsidR="005C690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</w:t>
      </w:r>
      <w:r w:rsidR="005C690C" w:rsidRPr="002B2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подстанций обеспечит надежное электроснабжение существующих абонентов п. Дальний и п. Молодежный и подключение </w:t>
      </w:r>
      <w:r w:rsidR="005C690C" w:rsidRPr="002B2563">
        <w:rPr>
          <w:rFonts w:ascii="Times New Roman" w:eastAsia="Calibri" w:hAnsi="Times New Roman" w:cs="Times New Roman"/>
          <w:kern w:val="24"/>
          <w:sz w:val="28"/>
          <w:szCs w:val="28"/>
        </w:rPr>
        <w:t xml:space="preserve">новых абонентов района жилой застройки </w:t>
      </w:r>
      <w:r w:rsidR="005C690C" w:rsidRPr="00146B52">
        <w:rPr>
          <w:rFonts w:ascii="Times New Roman" w:eastAsia="Calibri" w:hAnsi="Times New Roman" w:cs="Times New Roman"/>
          <w:kern w:val="24"/>
          <w:sz w:val="28"/>
          <w:szCs w:val="28"/>
        </w:rPr>
        <w:t>п. Молодежный</w:t>
      </w:r>
      <w:r w:rsidR="005C690C" w:rsidRPr="002B2563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(спортивный </w:t>
      </w:r>
      <w:r w:rsidR="005C690C">
        <w:rPr>
          <w:rFonts w:ascii="Times New Roman" w:eastAsia="Calibri" w:hAnsi="Times New Roman" w:cs="Times New Roman"/>
          <w:kern w:val="24"/>
          <w:sz w:val="28"/>
          <w:szCs w:val="28"/>
        </w:rPr>
        <w:t>комплекс</w:t>
      </w:r>
      <w:r w:rsidR="005C690C" w:rsidRPr="002B2563">
        <w:rPr>
          <w:rFonts w:ascii="Times New Roman" w:eastAsia="Calibri" w:hAnsi="Times New Roman" w:cs="Times New Roman"/>
          <w:kern w:val="24"/>
          <w:sz w:val="28"/>
          <w:szCs w:val="28"/>
        </w:rPr>
        <w:t>, краевая больница, котельные, жилые дома и т.</w:t>
      </w:r>
      <w:r w:rsidR="0055048B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</w:t>
      </w:r>
      <w:r w:rsidR="005C690C" w:rsidRPr="002B2563">
        <w:rPr>
          <w:rFonts w:ascii="Times New Roman" w:eastAsia="Calibri" w:hAnsi="Times New Roman" w:cs="Times New Roman"/>
          <w:kern w:val="24"/>
          <w:sz w:val="28"/>
          <w:szCs w:val="28"/>
        </w:rPr>
        <w:t>д.)</w:t>
      </w:r>
      <w:r w:rsidR="005C690C">
        <w:rPr>
          <w:rFonts w:ascii="Times New Roman" w:eastAsia="Calibri" w:hAnsi="Times New Roman" w:cs="Times New Roman"/>
          <w:kern w:val="24"/>
          <w:sz w:val="28"/>
          <w:szCs w:val="28"/>
        </w:rPr>
        <w:t xml:space="preserve"> и района п. Дальний (жилые дома).</w:t>
      </w:r>
    </w:p>
    <w:p w:rsidR="000955A9" w:rsidRDefault="005C690C" w:rsidP="00BB55E7">
      <w:pPr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55E7">
        <w:rPr>
          <w:rFonts w:ascii="Times New Roman" w:eastAsia="Calibri" w:hAnsi="Times New Roman" w:cs="Times New Roman"/>
          <w:sz w:val="28"/>
          <w:szCs w:val="28"/>
        </w:rPr>
        <w:t>- п</w:t>
      </w:r>
      <w:r w:rsidR="000955A9" w:rsidRPr="00BB55E7">
        <w:rPr>
          <w:rFonts w:ascii="Times New Roman" w:eastAsia="Calibri" w:hAnsi="Times New Roman" w:cs="Times New Roman"/>
          <w:sz w:val="28"/>
          <w:szCs w:val="28"/>
        </w:rPr>
        <w:t>одготовка проектной документации по планировке территорий городского округа</w:t>
      </w:r>
      <w:r w:rsidR="00BB55E7" w:rsidRPr="00BB55E7">
        <w:rPr>
          <w:rFonts w:ascii="Times New Roman" w:eastAsia="Calibri" w:hAnsi="Times New Roman" w:cs="Times New Roman"/>
          <w:sz w:val="28"/>
          <w:szCs w:val="28"/>
        </w:rPr>
        <w:t xml:space="preserve">, в том числе </w:t>
      </w:r>
      <w:r w:rsidR="000955A9" w:rsidRPr="00BB55E7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разработка проектов планировки новых территорий</w:t>
      </w:r>
      <w:r w:rsidR="00BB55E7" w:rsidRPr="00BB5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0955A9" w:rsidRPr="00BB55E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проектов планировки застроенных территорий</w:t>
      </w:r>
      <w:r w:rsidR="00BB55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095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926837" w:rsidRPr="003C3E81" w:rsidRDefault="00A51764" w:rsidP="00926837">
      <w:pPr>
        <w:tabs>
          <w:tab w:val="left" w:pos="72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C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Решая проблему по </w:t>
      </w:r>
      <w:r w:rsidRPr="003C3E81">
        <w:rPr>
          <w:rFonts w:ascii="Times New Roman" w:hAnsi="Times New Roman" w:cs="Times New Roman"/>
          <w:sz w:val="28"/>
          <w:szCs w:val="28"/>
        </w:rPr>
        <w:t>разработке документов территориального планирования мы одновременно</w:t>
      </w:r>
      <w:r w:rsidRPr="003C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E81">
        <w:rPr>
          <w:rFonts w:ascii="Times New Roman" w:hAnsi="Times New Roman" w:cs="Times New Roman"/>
          <w:sz w:val="28"/>
          <w:szCs w:val="28"/>
        </w:rPr>
        <w:t xml:space="preserve">решаем вопросы, </w:t>
      </w:r>
      <w:r w:rsidR="00926837" w:rsidRPr="003C3E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застройки</w:t>
      </w:r>
      <w:proofErr w:type="gramEnd"/>
      <w:r w:rsidR="00926837" w:rsidRPr="003C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 для строительства зданий, строений, </w:t>
      </w:r>
      <w:r w:rsidR="00926837" w:rsidRPr="003C3E81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="00926837" w:rsidRPr="003C3E81">
        <w:rPr>
          <w:rFonts w:ascii="Times New Roman" w:eastAsia="Calibri" w:hAnsi="Times New Roman" w:cs="Times New Roman"/>
          <w:sz w:val="28"/>
          <w:szCs w:val="28"/>
        </w:rPr>
        <w:t>главным условием формирования земельных участков является наличие документации по планировке территории.</w:t>
      </w:r>
    </w:p>
    <w:p w:rsidR="00165A32" w:rsidRDefault="00781734" w:rsidP="000955A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10A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230D0" w:rsidRPr="00071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2017-2019 </w:t>
      </w:r>
      <w:r w:rsidRPr="00071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годах </w:t>
      </w:r>
      <w:r w:rsidR="00942A4D" w:rsidRPr="00071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0710A8" w:rsidRPr="000710A8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разработки </w:t>
      </w:r>
      <w:r w:rsidR="000710A8" w:rsidRPr="000710A8">
        <w:rPr>
          <w:rFonts w:ascii="Times New Roman" w:hAnsi="Times New Roman" w:cs="Times New Roman"/>
          <w:sz w:val="28"/>
          <w:szCs w:val="28"/>
        </w:rPr>
        <w:t>документов территориального планирования</w:t>
      </w:r>
      <w:r w:rsidR="000710A8">
        <w:rPr>
          <w:rFonts w:ascii="Times New Roman" w:hAnsi="Times New Roman" w:cs="Times New Roman"/>
          <w:sz w:val="28"/>
          <w:szCs w:val="28"/>
        </w:rPr>
        <w:t xml:space="preserve"> и </w:t>
      </w:r>
      <w:r w:rsidR="00942A4D" w:rsidRPr="000710A8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стимулирования развития жилищного строительства </w:t>
      </w:r>
      <w:r w:rsidR="00165A32">
        <w:rPr>
          <w:rFonts w:ascii="Times New Roman" w:eastAsia="Times New Roman" w:hAnsi="Times New Roman" w:cs="Times New Roman"/>
          <w:bCs/>
          <w:sz w:val="28"/>
          <w:szCs w:val="28"/>
        </w:rPr>
        <w:t>планируется:</w:t>
      </w:r>
    </w:p>
    <w:p w:rsidR="00A35217" w:rsidRDefault="00165A32" w:rsidP="000955A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165A32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разработка </w:t>
      </w:r>
      <w:r w:rsidR="00A35217">
        <w:rPr>
          <w:rFonts w:ascii="Times New Roman" w:eastAsia="Times New Roman" w:hAnsi="Times New Roman" w:cs="Times New Roman"/>
          <w:bCs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50020" w:rsidRPr="00165A32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50020" w:rsidRPr="00165A32">
        <w:rPr>
          <w:rFonts w:ascii="Times New Roman" w:hAnsi="Times New Roman" w:cs="Times New Roman"/>
          <w:sz w:val="28"/>
          <w:szCs w:val="28"/>
        </w:rPr>
        <w:t xml:space="preserve"> планировки территории с проектом межевания</w:t>
      </w:r>
      <w:r w:rsidR="00A35217">
        <w:rPr>
          <w:rFonts w:ascii="Times New Roman" w:hAnsi="Times New Roman" w:cs="Times New Roman"/>
          <w:sz w:val="28"/>
          <w:szCs w:val="28"/>
        </w:rPr>
        <w:t>;</w:t>
      </w:r>
    </w:p>
    <w:p w:rsidR="00165A32" w:rsidRPr="00165A32" w:rsidRDefault="00165A32" w:rsidP="000955A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5A32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A35217">
        <w:rPr>
          <w:rFonts w:ascii="Times New Roman" w:hAnsi="Times New Roman" w:cs="Times New Roman"/>
          <w:sz w:val="28"/>
          <w:szCs w:val="28"/>
        </w:rPr>
        <w:t xml:space="preserve">3 </w:t>
      </w:r>
      <w:r w:rsidRPr="00165A32">
        <w:rPr>
          <w:rFonts w:ascii="Times New Roman" w:hAnsi="Times New Roman" w:cs="Times New Roman"/>
          <w:sz w:val="28"/>
          <w:szCs w:val="28"/>
        </w:rPr>
        <w:t>проектов межевания территорий на следующие элементы планировочной структуры в границах отдельных планировочных подрайонов</w:t>
      </w:r>
      <w:r w:rsidR="00A35217">
        <w:rPr>
          <w:rFonts w:ascii="Times New Roman" w:hAnsi="Times New Roman" w:cs="Times New Roman"/>
          <w:sz w:val="28"/>
          <w:szCs w:val="28"/>
        </w:rPr>
        <w:t>;</w:t>
      </w:r>
    </w:p>
    <w:p w:rsidR="00165A32" w:rsidRDefault="00165A32" w:rsidP="000955A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5217">
        <w:rPr>
          <w:rFonts w:ascii="Times New Roman" w:hAnsi="Times New Roman" w:cs="Times New Roman"/>
          <w:sz w:val="28"/>
          <w:szCs w:val="28"/>
        </w:rPr>
        <w:t xml:space="preserve">разработка 12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65A32">
        <w:rPr>
          <w:rFonts w:ascii="Times New Roman" w:hAnsi="Times New Roman" w:cs="Times New Roman"/>
          <w:sz w:val="28"/>
          <w:szCs w:val="28"/>
        </w:rPr>
        <w:t xml:space="preserve">роектов планировки территории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65A32">
        <w:rPr>
          <w:rFonts w:ascii="Times New Roman" w:hAnsi="Times New Roman" w:cs="Times New Roman"/>
          <w:sz w:val="28"/>
          <w:szCs w:val="28"/>
        </w:rPr>
        <w:t>роектов межевания территорий на элементы планировочной структуры в границах отдельных планировочных районов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165A32">
        <w:rPr>
          <w:rFonts w:ascii="Times New Roman" w:hAnsi="Times New Roman" w:cs="Times New Roman"/>
          <w:sz w:val="28"/>
          <w:szCs w:val="28"/>
        </w:rPr>
        <w:t>подрайонов.</w:t>
      </w:r>
    </w:p>
    <w:p w:rsidR="00750020" w:rsidRDefault="00024EF4" w:rsidP="000955A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319">
        <w:rPr>
          <w:rFonts w:ascii="Times New Roman" w:eastAsia="Calibri" w:hAnsi="Times New Roman" w:cs="Times New Roman"/>
          <w:sz w:val="28"/>
          <w:szCs w:val="28"/>
        </w:rPr>
        <w:t>В результате реализации мероприятий, планируется, что к концу 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164319">
        <w:rPr>
          <w:rFonts w:ascii="Times New Roman" w:eastAsia="Calibri" w:hAnsi="Times New Roman" w:cs="Times New Roman"/>
          <w:sz w:val="28"/>
          <w:szCs w:val="28"/>
        </w:rPr>
        <w:t xml:space="preserve"> года площадь земельных участков, на которые подготовлены и утверждены проекты строительства </w:t>
      </w:r>
      <w:proofErr w:type="gramStart"/>
      <w:r w:rsidRPr="00164319">
        <w:rPr>
          <w:rFonts w:ascii="Times New Roman" w:eastAsia="Calibri" w:hAnsi="Times New Roman" w:cs="Times New Roman"/>
          <w:sz w:val="28"/>
          <w:szCs w:val="28"/>
        </w:rPr>
        <w:t>инженерной</w:t>
      </w:r>
      <w:proofErr w:type="gramEnd"/>
      <w:r w:rsidRPr="00164319">
        <w:rPr>
          <w:rFonts w:ascii="Times New Roman" w:eastAsia="Calibri" w:hAnsi="Times New Roman" w:cs="Times New Roman"/>
          <w:sz w:val="28"/>
          <w:szCs w:val="28"/>
        </w:rPr>
        <w:t xml:space="preserve"> инфраструктуры составит 3 153 кв. метров, площадь новых территорий, в отношении которых разработаны и утверждены проекты планировки территорий </w:t>
      </w:r>
      <w:r w:rsidR="00C75701">
        <w:rPr>
          <w:rFonts w:ascii="Times New Roman" w:eastAsia="Calibri" w:hAnsi="Times New Roman" w:cs="Times New Roman"/>
          <w:sz w:val="28"/>
          <w:szCs w:val="28"/>
        </w:rPr>
        <w:t>увеличится на 10</w:t>
      </w:r>
      <w:r w:rsidRPr="00024EF4">
        <w:rPr>
          <w:rFonts w:ascii="Times New Roman" w:eastAsia="Calibri" w:hAnsi="Times New Roman" w:cs="Times New Roman"/>
          <w:sz w:val="28"/>
          <w:szCs w:val="28"/>
        </w:rPr>
        <w:t xml:space="preserve"> га</w:t>
      </w:r>
      <w:r w:rsidRPr="00164319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1926">
        <w:rPr>
          <w:rFonts w:ascii="Times New Roman" w:eastAsia="Calibri" w:hAnsi="Times New Roman" w:cs="Times New Roman"/>
          <w:sz w:val="28"/>
          <w:szCs w:val="28"/>
        </w:rPr>
        <w:t xml:space="preserve">площадь застроенных территорий, в отношении которых разработаны и утверждены проекты планировки территорий </w:t>
      </w:r>
      <w:r w:rsidR="00C75701">
        <w:rPr>
          <w:rFonts w:ascii="Times New Roman" w:eastAsia="Calibri" w:hAnsi="Times New Roman" w:cs="Times New Roman"/>
          <w:sz w:val="28"/>
          <w:szCs w:val="28"/>
        </w:rPr>
        <w:t xml:space="preserve">– на 16 </w:t>
      </w:r>
      <w:r w:rsidRPr="00481926">
        <w:rPr>
          <w:rFonts w:ascii="Times New Roman" w:eastAsia="Calibri" w:hAnsi="Times New Roman" w:cs="Times New Roman"/>
          <w:sz w:val="28"/>
          <w:szCs w:val="28"/>
        </w:rPr>
        <w:t>га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0FBE" w:rsidRPr="002B0FBE" w:rsidRDefault="00840CEE" w:rsidP="000D47A6">
      <w:pPr>
        <w:pStyle w:val="ConsPlusNormal"/>
        <w:spacing w:before="120"/>
      </w:pPr>
      <w:proofErr w:type="gramStart"/>
      <w:r w:rsidRPr="002B0FBE">
        <w:t>В 2017</w:t>
      </w:r>
      <w:r w:rsidR="001C7AA2">
        <w:t xml:space="preserve"> -</w:t>
      </w:r>
      <w:r w:rsidRPr="002B0FBE">
        <w:t xml:space="preserve"> 2019 годах мероприятия по переселению граждан из непригодного и аварийного жилья, улучшению жилищных условий молодых семей, обеспечению </w:t>
      </w:r>
      <w:r w:rsidR="001C7AA2">
        <w:t>квартирами</w:t>
      </w:r>
      <w:r w:rsidRPr="002B0FBE">
        <w:t xml:space="preserve"> детей-сирот будут осуществляться путем реализации муниципальн</w:t>
      </w:r>
      <w:r w:rsidR="002B0FBE" w:rsidRPr="002B0FBE">
        <w:t>ых</w:t>
      </w:r>
      <w:r w:rsidRPr="002B0FBE">
        <w:t xml:space="preserve"> программ</w:t>
      </w:r>
      <w:r w:rsidR="00DB760C">
        <w:t xml:space="preserve"> </w:t>
      </w:r>
      <w:r w:rsidRPr="002B0FBE">
        <w:rPr>
          <w:rFonts w:eastAsia="Times New Roman"/>
        </w:rPr>
        <w:t>«Обеспечение доступным и комфортным жильем жителей Петропавловск-Камчатского городского округа»</w:t>
      </w:r>
      <w:r w:rsidRPr="002B0FBE">
        <w:t>, утвержденн</w:t>
      </w:r>
      <w:r w:rsidR="00DB760C">
        <w:t>ых</w:t>
      </w:r>
      <w:r w:rsidRPr="002B0FBE">
        <w:t xml:space="preserve"> постановлени</w:t>
      </w:r>
      <w:r w:rsidR="00DB760C">
        <w:t xml:space="preserve">ями </w:t>
      </w:r>
      <w:r w:rsidRPr="002B0FBE">
        <w:t xml:space="preserve">администрации </w:t>
      </w:r>
      <w:r w:rsidRPr="002B0FBE">
        <w:rPr>
          <w:rFonts w:eastAsia="Times New Roman"/>
        </w:rPr>
        <w:t>Петропавловск-Камчатского городского округа</w:t>
      </w:r>
      <w:r w:rsidRPr="002B0FBE">
        <w:t xml:space="preserve"> от </w:t>
      </w:r>
      <w:r w:rsidR="001C7AA2" w:rsidRPr="0052786F">
        <w:t>05.11.2013 № 3195</w:t>
      </w:r>
      <w:r w:rsidR="001C7AA2">
        <w:t xml:space="preserve"> </w:t>
      </w:r>
      <w:r w:rsidR="002B0FBE" w:rsidRPr="002B0FBE">
        <w:t xml:space="preserve">и от </w:t>
      </w:r>
      <w:r w:rsidR="002B0FBE">
        <w:t>02.08.</w:t>
      </w:r>
      <w:r w:rsidR="002B0FBE" w:rsidRPr="002B0FBE">
        <w:t xml:space="preserve"> 201</w:t>
      </w:r>
      <w:r w:rsidR="002B0FBE">
        <w:t>6</w:t>
      </w:r>
      <w:r w:rsidR="002B0FBE" w:rsidRPr="002B0FBE">
        <w:t xml:space="preserve"> г. № 1</w:t>
      </w:r>
      <w:r w:rsidR="002B0FBE">
        <w:t>363.</w:t>
      </w:r>
      <w:r w:rsidRPr="002B0FBE">
        <w:t xml:space="preserve"> </w:t>
      </w:r>
      <w:proofErr w:type="gramEnd"/>
    </w:p>
    <w:p w:rsidR="00840CEE" w:rsidRPr="00C527E5" w:rsidRDefault="00840CEE" w:rsidP="00840CEE">
      <w:pPr>
        <w:pStyle w:val="ConsPlusNormal"/>
      </w:pPr>
      <w:r w:rsidRPr="00C527E5">
        <w:t>В 2017-20</w:t>
      </w:r>
      <w:r w:rsidR="002B0FBE" w:rsidRPr="00C527E5">
        <w:t>19</w:t>
      </w:r>
      <w:r w:rsidRPr="00C527E5">
        <w:t xml:space="preserve"> годах планируется:</w:t>
      </w:r>
    </w:p>
    <w:p w:rsidR="000D47A6" w:rsidRPr="00157B0C" w:rsidRDefault="00157B0C" w:rsidP="000D47A6">
      <w:pPr>
        <w:tabs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2B0FBE" w:rsidRPr="00C527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строительство </w:t>
      </w:r>
      <w:r w:rsidR="00C527E5" w:rsidRPr="00C527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жилых домов </w:t>
      </w:r>
      <w:r w:rsidR="002B0FBE" w:rsidRPr="00C527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районе ул. </w:t>
      </w:r>
      <w:proofErr w:type="spellStart"/>
      <w:r w:rsidR="002B0FBE" w:rsidRPr="00C527E5">
        <w:rPr>
          <w:rFonts w:ascii="Times New Roman" w:eastAsia="Calibri" w:hAnsi="Times New Roman" w:cs="Times New Roman"/>
          <w:sz w:val="28"/>
          <w:szCs w:val="28"/>
          <w:lang w:eastAsia="ru-RU"/>
        </w:rPr>
        <w:t>Карбышева</w:t>
      </w:r>
      <w:proofErr w:type="spellEnd"/>
      <w:r w:rsidR="002B0FBE" w:rsidRPr="00C527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ул. </w:t>
      </w:r>
      <w:proofErr w:type="spellStart"/>
      <w:r w:rsidR="002B0FBE" w:rsidRPr="00C527E5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Хасанская</w:t>
      </w:r>
      <w:proofErr w:type="spellEnd"/>
      <w:r w:rsidR="002B0FBE" w:rsidRPr="00C52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FBE" w:rsidRPr="00C527E5">
        <w:rPr>
          <w:rFonts w:ascii="Times New Roman" w:eastAsia="Calibri" w:hAnsi="Times New Roman" w:cs="Times New Roman"/>
          <w:sz w:val="28"/>
          <w:szCs w:val="28"/>
          <w:lang w:eastAsia="ru-RU"/>
        </w:rPr>
        <w:t>общей площадью 12,3 тысячи кв. м</w:t>
      </w:r>
      <w:r w:rsidR="00C527E5" w:rsidRPr="00C527E5">
        <w:rPr>
          <w:rFonts w:ascii="Times New Roman" w:eastAsia="Calibri" w:hAnsi="Times New Roman" w:cs="Times New Roman"/>
          <w:sz w:val="28"/>
          <w:szCs w:val="28"/>
          <w:lang w:eastAsia="ru-RU"/>
        </w:rPr>
        <w:t>етров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B0FBE" w:rsidRPr="00C527E5">
        <w:rPr>
          <w:rFonts w:ascii="Times New Roman" w:hAnsi="Times New Roman"/>
          <w:sz w:val="28"/>
          <w:szCs w:val="28"/>
        </w:rPr>
        <w:t xml:space="preserve">предназначенного для переселения жильцов из </w:t>
      </w:r>
      <w:proofErr w:type="spellStart"/>
      <w:r w:rsidR="002B0FBE" w:rsidRPr="00C527E5">
        <w:rPr>
          <w:rFonts w:ascii="Times New Roman" w:hAnsi="Times New Roman"/>
          <w:sz w:val="28"/>
          <w:szCs w:val="28"/>
        </w:rPr>
        <w:t>сейсмонеустойчивых</w:t>
      </w:r>
      <w:proofErr w:type="spellEnd"/>
      <w:r w:rsidR="002B0FBE" w:rsidRPr="00C527E5">
        <w:rPr>
          <w:rFonts w:ascii="Times New Roman" w:hAnsi="Times New Roman"/>
          <w:sz w:val="28"/>
          <w:szCs w:val="28"/>
        </w:rPr>
        <w:t xml:space="preserve"> домов</w:t>
      </w:r>
      <w:r w:rsidR="00C527E5" w:rsidRPr="00C527E5">
        <w:rPr>
          <w:rFonts w:ascii="Times New Roman" w:hAnsi="Times New Roman"/>
          <w:sz w:val="28"/>
          <w:szCs w:val="28"/>
        </w:rPr>
        <w:t xml:space="preserve"> и непригодно</w:t>
      </w:r>
      <w:r>
        <w:rPr>
          <w:rFonts w:ascii="Times New Roman" w:hAnsi="Times New Roman"/>
          <w:sz w:val="28"/>
          <w:szCs w:val="28"/>
        </w:rPr>
        <w:t xml:space="preserve">го и аварийного </w:t>
      </w:r>
      <w:r>
        <w:rPr>
          <w:rFonts w:ascii="Times New Roman" w:hAnsi="Times New Roman"/>
          <w:sz w:val="28"/>
          <w:szCs w:val="28"/>
        </w:rPr>
        <w:lastRenderedPageBreak/>
        <w:t xml:space="preserve">жилищного фонда, а также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приобретение 57 квартир на </w:t>
      </w:r>
      <w:r w:rsidR="000D47A6">
        <w:rPr>
          <w:rFonts w:ascii="Times New Roman" w:eastAsia="Calibri" w:hAnsi="Times New Roman" w:cs="Times New Roman"/>
          <w:sz w:val="28"/>
          <w:szCs w:val="28"/>
          <w:lang w:eastAsia="ru-RU"/>
        </w:rPr>
        <w:t>функционирующем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рынке жилья</w:t>
      </w:r>
      <w:r w:rsidR="000D47A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0D47A6" w:rsidRPr="000D47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47A6">
        <w:rPr>
          <w:rFonts w:ascii="Times New Roman" w:hAnsi="Times New Roman" w:cs="Times New Roman"/>
          <w:bCs/>
          <w:sz w:val="28"/>
          <w:szCs w:val="28"/>
        </w:rPr>
        <w:t>В 2016–2019</w:t>
      </w:r>
      <w:r w:rsidR="000D47A6" w:rsidRPr="00157B0C">
        <w:rPr>
          <w:rFonts w:ascii="Times New Roman" w:hAnsi="Times New Roman" w:cs="Times New Roman"/>
          <w:bCs/>
          <w:sz w:val="28"/>
          <w:szCs w:val="28"/>
        </w:rPr>
        <w:t xml:space="preserve"> годах</w:t>
      </w:r>
      <w:r w:rsidR="000D47A6" w:rsidRPr="00157B0C">
        <w:rPr>
          <w:rFonts w:ascii="Times New Roman" w:hAnsi="Times New Roman" w:cs="Times New Roman"/>
          <w:sz w:val="28"/>
          <w:szCs w:val="28"/>
        </w:rPr>
        <w:t xml:space="preserve"> </w:t>
      </w:r>
      <w:r w:rsidR="000D47A6">
        <w:rPr>
          <w:rFonts w:ascii="Times New Roman" w:hAnsi="Times New Roman" w:cs="Times New Roman"/>
          <w:sz w:val="28"/>
          <w:szCs w:val="28"/>
        </w:rPr>
        <w:t>п</w:t>
      </w:r>
      <w:r w:rsidR="000D47A6" w:rsidRPr="00157B0C">
        <w:rPr>
          <w:rFonts w:ascii="Times New Roman" w:hAnsi="Times New Roman" w:cs="Times New Roman"/>
          <w:sz w:val="28"/>
          <w:szCs w:val="28"/>
        </w:rPr>
        <w:t xml:space="preserve">ланируется расселить </w:t>
      </w:r>
      <w:r w:rsidR="000D47A6" w:rsidRPr="00157B0C">
        <w:rPr>
          <w:rFonts w:ascii="Times New Roman" w:hAnsi="Times New Roman" w:cs="Times New Roman"/>
          <w:bCs/>
          <w:sz w:val="28"/>
          <w:szCs w:val="28"/>
        </w:rPr>
        <w:t>895 семей.</w:t>
      </w:r>
    </w:p>
    <w:p w:rsidR="001C7AA2" w:rsidRDefault="00157B0C" w:rsidP="00840CEE">
      <w:pPr>
        <w:tabs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D47A6" w:rsidRPr="00DB760C">
        <w:rPr>
          <w:rFonts w:ascii="Times New Roman" w:eastAsia="Calibri" w:hAnsi="Times New Roman" w:cs="Times New Roman"/>
          <w:sz w:val="28"/>
          <w:szCs w:val="28"/>
        </w:rPr>
        <w:t>ликвидация</w:t>
      </w:r>
      <w:r w:rsidR="00840CEE" w:rsidRPr="00DB76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760C">
        <w:rPr>
          <w:rFonts w:ascii="Times New Roman" w:hAnsi="Times New Roman" w:cs="Times New Roman"/>
          <w:sz w:val="28"/>
          <w:szCs w:val="28"/>
        </w:rPr>
        <w:t>27</w:t>
      </w:r>
      <w:r w:rsidR="00840CEE" w:rsidRPr="00DB760C">
        <w:rPr>
          <w:rFonts w:ascii="Times New Roman" w:hAnsi="Times New Roman" w:cs="Times New Roman"/>
          <w:sz w:val="28"/>
          <w:szCs w:val="28"/>
        </w:rPr>
        <w:t xml:space="preserve"> аварийных домов</w:t>
      </w:r>
      <w:r w:rsidR="00840CEE" w:rsidRPr="00DB760C">
        <w:rPr>
          <w:rFonts w:ascii="Times New Roman" w:hAnsi="Times New Roman" w:cs="Times New Roman"/>
          <w:bCs/>
          <w:sz w:val="28"/>
          <w:szCs w:val="28"/>
        </w:rPr>
        <w:t>, непригодных для проживания</w:t>
      </w:r>
      <w:r w:rsidR="00840CEE" w:rsidRPr="00DB760C">
        <w:rPr>
          <w:rFonts w:ascii="Times New Roman" w:hAnsi="Times New Roman" w:cs="Times New Roman"/>
          <w:sz w:val="28"/>
          <w:szCs w:val="28"/>
        </w:rPr>
        <w:t>, общей площадью 1</w:t>
      </w:r>
      <w:r w:rsidRPr="00DB760C">
        <w:rPr>
          <w:rFonts w:ascii="Times New Roman" w:hAnsi="Times New Roman" w:cs="Times New Roman"/>
          <w:sz w:val="28"/>
          <w:szCs w:val="28"/>
        </w:rPr>
        <w:t>2,</w:t>
      </w:r>
      <w:r w:rsidR="00840CEE" w:rsidRPr="00DB760C">
        <w:rPr>
          <w:rFonts w:ascii="Times New Roman" w:hAnsi="Times New Roman" w:cs="Times New Roman"/>
          <w:sz w:val="28"/>
          <w:szCs w:val="28"/>
        </w:rPr>
        <w:t>8</w:t>
      </w:r>
      <w:r w:rsidRPr="00DB760C">
        <w:rPr>
          <w:rFonts w:ascii="Times New Roman" w:hAnsi="Times New Roman" w:cs="Times New Roman"/>
          <w:sz w:val="28"/>
          <w:szCs w:val="28"/>
        </w:rPr>
        <w:t xml:space="preserve">6 </w:t>
      </w:r>
      <w:r w:rsidR="00840CEE" w:rsidRPr="00DB760C">
        <w:rPr>
          <w:rFonts w:ascii="Times New Roman" w:hAnsi="Times New Roman" w:cs="Times New Roman"/>
          <w:sz w:val="28"/>
          <w:szCs w:val="28"/>
        </w:rPr>
        <w:t>тыс.</w:t>
      </w:r>
      <w:r w:rsidR="00840CEE" w:rsidRPr="00157B0C">
        <w:rPr>
          <w:rFonts w:ascii="Times New Roman" w:hAnsi="Times New Roman" w:cs="Times New Roman"/>
          <w:sz w:val="28"/>
          <w:szCs w:val="28"/>
        </w:rPr>
        <w:t xml:space="preserve"> кв.</w:t>
      </w:r>
      <w:r w:rsidRPr="00157B0C">
        <w:rPr>
          <w:rFonts w:ascii="Times New Roman" w:hAnsi="Times New Roman" w:cs="Times New Roman"/>
          <w:sz w:val="28"/>
          <w:szCs w:val="28"/>
        </w:rPr>
        <w:t xml:space="preserve"> </w:t>
      </w:r>
      <w:r w:rsidR="00840CEE" w:rsidRPr="00157B0C">
        <w:rPr>
          <w:rFonts w:ascii="Times New Roman" w:hAnsi="Times New Roman" w:cs="Times New Roman"/>
          <w:sz w:val="28"/>
          <w:szCs w:val="28"/>
        </w:rPr>
        <w:t>м</w:t>
      </w:r>
      <w:r w:rsidRPr="00157B0C">
        <w:rPr>
          <w:rFonts w:ascii="Times New Roman" w:hAnsi="Times New Roman" w:cs="Times New Roman"/>
          <w:sz w:val="28"/>
          <w:szCs w:val="28"/>
        </w:rPr>
        <w:t>етров</w:t>
      </w:r>
      <w:r w:rsidR="001C7AA2">
        <w:rPr>
          <w:rFonts w:ascii="Times New Roman" w:hAnsi="Times New Roman" w:cs="Times New Roman"/>
          <w:sz w:val="28"/>
          <w:szCs w:val="28"/>
        </w:rPr>
        <w:t>;</w:t>
      </w:r>
    </w:p>
    <w:p w:rsidR="00840CEE" w:rsidRDefault="001C7AA2" w:rsidP="00840CEE">
      <w:pPr>
        <w:tabs>
          <w:tab w:val="left" w:pos="851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1C7AA2">
        <w:rPr>
          <w:rFonts w:ascii="Times New Roman" w:hAnsi="Times New Roman" w:cs="Times New Roman"/>
          <w:sz w:val="28"/>
          <w:szCs w:val="28"/>
        </w:rPr>
        <w:t>- обеспечение социальными выплатами 46 молодых семей.</w:t>
      </w:r>
    </w:p>
    <w:p w:rsidR="006C02D6" w:rsidRDefault="00D7115B" w:rsidP="00BB55E7">
      <w:pPr>
        <w:pStyle w:val="1"/>
        <w:spacing w:before="240" w:after="240"/>
      </w:pPr>
      <w:bookmarkStart w:id="32" w:name="_Toc400529666"/>
      <w:bookmarkStart w:id="33" w:name="_Toc430947239"/>
      <w:bookmarkStart w:id="34" w:name="_Toc465927690"/>
      <w:bookmarkStart w:id="35" w:name="_Toc430947274"/>
      <w:r>
        <w:t>6</w:t>
      </w:r>
      <w:r w:rsidR="006C02D6" w:rsidRPr="005B4EBA">
        <w:t>. Потребительский рынок</w:t>
      </w:r>
      <w:bookmarkEnd w:id="32"/>
      <w:bookmarkEnd w:id="33"/>
      <w:bookmarkEnd w:id="34"/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Потребительский рынок городского округа является одним из важных секторов жизнеобеспечения, а также источником занятости населения и пополнения бюджета городского округа. 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D7115B">
        <w:rPr>
          <w:rFonts w:ascii="Times New Roman" w:hAnsi="Times New Roman" w:cs="Times New Roman"/>
          <w:i/>
          <w:sz w:val="28"/>
          <w:szCs w:val="28"/>
          <w:lang w:eastAsia="ru-RU"/>
        </w:rPr>
        <w:t>Оборот розничной торговли</w:t>
      </w:r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 в 2015 году составил 36 651,7 </w:t>
      </w:r>
      <w:proofErr w:type="gramStart"/>
      <w:r w:rsidRPr="005B4EBA">
        <w:rPr>
          <w:rFonts w:ascii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 рублей и по сравнению с 2014 годом в действующих ценах </w:t>
      </w:r>
      <w:r>
        <w:rPr>
          <w:rFonts w:ascii="Times New Roman" w:hAnsi="Times New Roman" w:cs="Times New Roman"/>
          <w:sz w:val="28"/>
          <w:szCs w:val="28"/>
          <w:lang w:eastAsia="ru-RU"/>
        </w:rPr>
        <w:t>увеличился</w:t>
      </w:r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 на 10,9 %,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физический объем снизился </w:t>
      </w:r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на 3,9 %. Данное обстоятельство связано с ростом цен </w:t>
      </w:r>
      <w:r w:rsidRPr="005B4EBA">
        <w:rPr>
          <w:rFonts w:ascii="Times New Roman" w:hAnsi="Times New Roman" w:cs="Times New Roman"/>
          <w:sz w:val="28"/>
          <w:szCs w:val="24"/>
          <w:lang w:eastAsia="ru-RU"/>
        </w:rPr>
        <w:t>(цены на товары в 2015 году по сравнению с 2014 годом выросли на 14,3 %)</w:t>
      </w:r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5B4EBA">
        <w:rPr>
          <w:rFonts w:ascii="Times New Roman" w:hAnsi="Times New Roman" w:cs="Times New Roman"/>
          <w:sz w:val="28"/>
          <w:szCs w:val="24"/>
          <w:lang w:eastAsia="ru-RU"/>
        </w:rPr>
        <w:t>снижением реальных располагаемых денежных доходов населения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 и</w:t>
      </w:r>
      <w:r w:rsidRPr="005B4EBA">
        <w:rPr>
          <w:rFonts w:ascii="Times New Roman" w:hAnsi="Times New Roman" w:cs="Times New Roman"/>
          <w:sz w:val="28"/>
          <w:szCs w:val="24"/>
          <w:lang w:eastAsia="ru-RU"/>
        </w:rPr>
        <w:t xml:space="preserve"> доступности потребительского кредита.</w:t>
      </w:r>
    </w:p>
    <w:p w:rsidR="006C02D6" w:rsidRPr="005B4EBA" w:rsidRDefault="006C02D6" w:rsidP="006C02D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5B4EBA">
        <w:rPr>
          <w:rFonts w:ascii="Times New Roman" w:hAnsi="Times New Roman"/>
          <w:sz w:val="28"/>
          <w:szCs w:val="28"/>
        </w:rPr>
        <w:t>Основную долю оборота розничной торговли обеспечили торгующие организации и индивидуальные предприниматели, реализующие товары вне рынков, сформировавшие 89,6 % оборота розничной торговли (в 2014 году -      88,2 %). Индекс физического объема продаж в данном секторе в 2015 году составил 97,5 %.</w:t>
      </w:r>
    </w:p>
    <w:p w:rsidR="006C02D6" w:rsidRPr="005B4EBA" w:rsidRDefault="006C02D6" w:rsidP="006C02D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5B4EBA">
        <w:rPr>
          <w:rFonts w:ascii="Times New Roman" w:hAnsi="Times New Roman"/>
          <w:sz w:val="28"/>
          <w:szCs w:val="28"/>
        </w:rPr>
        <w:t xml:space="preserve">Сокращение с 2011 года количества действующих рынков </w:t>
      </w:r>
      <w:r>
        <w:rPr>
          <w:rFonts w:ascii="Times New Roman" w:hAnsi="Times New Roman"/>
          <w:sz w:val="28"/>
          <w:szCs w:val="28"/>
        </w:rPr>
        <w:t>(</w:t>
      </w:r>
      <w:r w:rsidRPr="005B4EBA">
        <w:rPr>
          <w:rFonts w:ascii="Times New Roman" w:hAnsi="Times New Roman"/>
          <w:sz w:val="28"/>
          <w:szCs w:val="28"/>
          <w:lang w:val="en-US"/>
        </w:rPr>
        <w:t>c</w:t>
      </w:r>
      <w:r w:rsidRPr="005B4EBA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единиц </w:t>
      </w:r>
      <w:r w:rsidRPr="005B4EBA">
        <w:rPr>
          <w:rFonts w:ascii="Times New Roman" w:hAnsi="Times New Roman"/>
          <w:sz w:val="28"/>
          <w:szCs w:val="28"/>
        </w:rPr>
        <w:t>до 2</w:t>
      </w:r>
      <w:r>
        <w:rPr>
          <w:rFonts w:ascii="Times New Roman" w:hAnsi="Times New Roman"/>
          <w:sz w:val="28"/>
          <w:szCs w:val="28"/>
        </w:rPr>
        <w:t xml:space="preserve"> единиц)</w:t>
      </w:r>
      <w:r w:rsidRPr="005B4EBA">
        <w:rPr>
          <w:rFonts w:ascii="Times New Roman" w:hAnsi="Times New Roman"/>
          <w:sz w:val="28"/>
          <w:szCs w:val="28"/>
        </w:rPr>
        <w:t xml:space="preserve"> привело к снижению объема продаж рыночной торговли на 19,6 %. Доля продаж на розничных рынках и ярмарках составила в 2015 году 10,4 %. </w:t>
      </w:r>
    </w:p>
    <w:p w:rsidR="006C02D6" w:rsidRPr="005B4EBA" w:rsidRDefault="006C02D6" w:rsidP="006C02D6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4EBA">
        <w:rPr>
          <w:rFonts w:ascii="Times New Roman" w:eastAsia="Times New Roman" w:hAnsi="Times New Roman"/>
          <w:sz w:val="28"/>
          <w:szCs w:val="28"/>
          <w:lang w:eastAsia="ru-RU"/>
        </w:rPr>
        <w:t>В структуре оборота розничной</w:t>
      </w:r>
      <w:r w:rsidRPr="005B4EB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троговли</w:t>
      </w:r>
      <w:r w:rsidRPr="005B4EBA">
        <w:rPr>
          <w:rFonts w:ascii="Times New Roman" w:eastAsia="Times New Roman" w:hAnsi="Times New Roman"/>
          <w:sz w:val="28"/>
          <w:szCs w:val="28"/>
          <w:lang w:eastAsia="ru-RU"/>
        </w:rPr>
        <w:t xml:space="preserve"> сохраняется преобладание доли </w:t>
      </w:r>
      <w:r w:rsidRPr="005B4EBA">
        <w:rPr>
          <w:rFonts w:ascii="Times New Roman" w:eastAsia="Times New Roman" w:hAnsi="Times New Roman"/>
          <w:noProof/>
          <w:sz w:val="28"/>
          <w:szCs w:val="28"/>
          <w:lang w:eastAsia="ru-RU"/>
        </w:rPr>
        <w:t>пищевых продуктов, включая напитки и табачные изделия. Товарная структура оборота розничной торговли представлена на</w:t>
      </w:r>
      <w:r w:rsidRPr="005B4EBA">
        <w:rPr>
          <w:rFonts w:ascii="Times New Roman" w:eastAsia="Times New Roman" w:hAnsi="Times New Roman"/>
          <w:sz w:val="28"/>
          <w:szCs w:val="28"/>
          <w:lang w:eastAsia="ru-RU"/>
        </w:rPr>
        <w:t xml:space="preserve"> рисунке </w:t>
      </w:r>
      <w:r w:rsidR="00D7115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B4EBA">
        <w:rPr>
          <w:rFonts w:ascii="Times New Roman" w:eastAsia="Times New Roman" w:hAnsi="Times New Roman"/>
          <w:sz w:val="28"/>
          <w:szCs w:val="28"/>
          <w:lang w:eastAsia="ru-RU"/>
        </w:rPr>
        <w:t>.1.:</w:t>
      </w:r>
    </w:p>
    <w:p w:rsidR="006C02D6" w:rsidRPr="005B4EBA" w:rsidRDefault="006C02D6" w:rsidP="006C02D6">
      <w:pPr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4EBA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BF9D54A" wp14:editId="4A7864C1">
            <wp:extent cx="4343400" cy="1895475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C02D6" w:rsidRPr="005B4EBA" w:rsidRDefault="006C02D6" w:rsidP="006C02D6">
      <w:pPr>
        <w:jc w:val="center"/>
        <w:rPr>
          <w:rFonts w:ascii="Times New Roman" w:hAnsi="Times New Roman"/>
          <w:i/>
          <w:iCs/>
          <w:sz w:val="24"/>
          <w:szCs w:val="24"/>
        </w:rPr>
      </w:pPr>
      <w:r w:rsidRPr="005B4EBA">
        <w:rPr>
          <w:rFonts w:ascii="Times New Roman" w:hAnsi="Times New Roman"/>
          <w:i/>
          <w:iCs/>
          <w:sz w:val="24"/>
          <w:szCs w:val="24"/>
        </w:rPr>
        <w:t xml:space="preserve">Рис. </w:t>
      </w:r>
      <w:r w:rsidR="00D7115B">
        <w:rPr>
          <w:rFonts w:ascii="Times New Roman" w:hAnsi="Times New Roman"/>
          <w:i/>
          <w:iCs/>
          <w:sz w:val="24"/>
          <w:szCs w:val="24"/>
        </w:rPr>
        <w:t>6</w:t>
      </w:r>
      <w:r w:rsidRPr="005B4EBA">
        <w:rPr>
          <w:rFonts w:ascii="Times New Roman" w:hAnsi="Times New Roman"/>
          <w:i/>
          <w:iCs/>
          <w:sz w:val="24"/>
          <w:szCs w:val="24"/>
        </w:rPr>
        <w:t>.1</w:t>
      </w:r>
      <w:r w:rsidRPr="005B4EBA">
        <w:rPr>
          <w:rFonts w:ascii="Times New Roman" w:hAnsi="Times New Roman"/>
          <w:i/>
          <w:iCs/>
          <w:color w:val="C00000"/>
          <w:sz w:val="24"/>
          <w:szCs w:val="24"/>
        </w:rPr>
        <w:t>.</w:t>
      </w:r>
      <w:r w:rsidRPr="005B4EB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B4EBA"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t>Товарная структура оборота розничной торговли</w:t>
      </w:r>
      <w:r w:rsidR="00DB760C"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t xml:space="preserve"> в 2015 году</w:t>
      </w:r>
      <w:r w:rsidRPr="005B4EBA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gramStart"/>
      <w:r w:rsidRPr="005B4EBA">
        <w:rPr>
          <w:rFonts w:ascii="Times New Roman" w:hAnsi="Times New Roman"/>
          <w:i/>
          <w:iCs/>
          <w:sz w:val="24"/>
          <w:szCs w:val="24"/>
        </w:rPr>
        <w:t>в</w:t>
      </w:r>
      <w:proofErr w:type="gramEnd"/>
      <w:r w:rsidRPr="005B4EBA">
        <w:rPr>
          <w:rFonts w:ascii="Times New Roman" w:hAnsi="Times New Roman"/>
          <w:i/>
          <w:iCs/>
          <w:sz w:val="24"/>
          <w:szCs w:val="24"/>
        </w:rPr>
        <w:t xml:space="preserve"> % к итогу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B4EBA">
        <w:rPr>
          <w:rFonts w:ascii="Times New Roman" w:hAnsi="Times New Roman"/>
          <w:sz w:val="28"/>
          <w:szCs w:val="28"/>
          <w:lang w:eastAsia="ru-RU"/>
        </w:rPr>
        <w:t xml:space="preserve">Доля </w:t>
      </w:r>
      <w:r w:rsidRPr="005B4EBA">
        <w:rPr>
          <w:rFonts w:ascii="Times New Roman" w:eastAsia="Times New Roman" w:hAnsi="Times New Roman"/>
          <w:noProof/>
          <w:sz w:val="28"/>
          <w:szCs w:val="28"/>
          <w:lang w:eastAsia="ru-RU"/>
        </w:rPr>
        <w:t>пищевых продуктов, включая напитки и табачные изделия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,</w:t>
      </w:r>
      <w:r w:rsidRPr="005B4E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B4EBA">
        <w:rPr>
          <w:rFonts w:ascii="Times New Roman" w:hAnsi="Times New Roman"/>
          <w:sz w:val="28"/>
          <w:szCs w:val="28"/>
          <w:lang w:eastAsia="ru-RU"/>
        </w:rPr>
        <w:t>в структуре оборота розничной торговли</w:t>
      </w:r>
      <w:r w:rsidR="00DB760C">
        <w:rPr>
          <w:rFonts w:ascii="Times New Roman" w:hAnsi="Times New Roman"/>
          <w:sz w:val="28"/>
          <w:szCs w:val="28"/>
          <w:lang w:eastAsia="ru-RU"/>
        </w:rPr>
        <w:t xml:space="preserve"> в 2015 году </w:t>
      </w:r>
      <w:r w:rsidRPr="005B4EBA">
        <w:rPr>
          <w:rFonts w:ascii="Times New Roman" w:hAnsi="Times New Roman"/>
          <w:sz w:val="28"/>
          <w:szCs w:val="28"/>
          <w:lang w:eastAsia="ru-RU"/>
        </w:rPr>
        <w:t>увеличилась по сравнению с 2014 годом на 2,7 % и составил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5B4EBA">
        <w:rPr>
          <w:rFonts w:ascii="Times New Roman" w:hAnsi="Times New Roman"/>
          <w:sz w:val="28"/>
          <w:szCs w:val="28"/>
          <w:lang w:eastAsia="ru-RU"/>
        </w:rPr>
        <w:t xml:space="preserve"> 59,7 %. Оборот данного сегмента розничной торговли сложился в сумме 21 894,4 </w:t>
      </w:r>
      <w:proofErr w:type="gramStart"/>
      <w:r w:rsidRPr="005B4EBA">
        <w:rPr>
          <w:rFonts w:ascii="Times New Roman" w:hAnsi="Times New Roman"/>
          <w:sz w:val="28"/>
          <w:szCs w:val="28"/>
          <w:lang w:eastAsia="ru-RU"/>
        </w:rPr>
        <w:t>млн</w:t>
      </w:r>
      <w:proofErr w:type="gramEnd"/>
      <w:r w:rsidRPr="005B4EBA">
        <w:rPr>
          <w:rFonts w:ascii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B4EB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что ниже аналогичного показателя </w:t>
      </w:r>
      <w:r w:rsidRPr="005B4EBA">
        <w:rPr>
          <w:rFonts w:ascii="Times New Roman" w:hAnsi="Times New Roman" w:cs="Times New Roman"/>
          <w:sz w:val="28"/>
          <w:szCs w:val="28"/>
          <w:lang w:eastAsia="ru-RU"/>
        </w:rPr>
        <w:t>2014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 на 1,9 % в сопоставимых ценах.</w:t>
      </w:r>
    </w:p>
    <w:p w:rsidR="006C02D6" w:rsidRPr="005B4EBA" w:rsidRDefault="006C02D6" w:rsidP="006C02D6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5B4EBA">
        <w:rPr>
          <w:rFonts w:ascii="Times New Roman" w:hAnsi="Times New Roman" w:cs="Times New Roman"/>
          <w:sz w:val="28"/>
          <w:szCs w:val="28"/>
        </w:rPr>
        <w:t xml:space="preserve">Доля непродовольственных товаров сократилась до минимального значения за последние годы - 40,3 % (в 2014 - 43,0 % , в 2013 - 43,5 %, в 2012 - 44 %). </w:t>
      </w:r>
      <w:r w:rsidRPr="005B4EBA">
        <w:rPr>
          <w:rFonts w:ascii="Times New Roman" w:hAnsi="Times New Roman"/>
          <w:sz w:val="28"/>
          <w:szCs w:val="28"/>
        </w:rPr>
        <w:t xml:space="preserve">Оборот розничной торговли непродовольственными товарами за 2015 год составил 14 757,3 </w:t>
      </w:r>
      <w:proofErr w:type="gramStart"/>
      <w:r w:rsidRPr="005B4EBA">
        <w:rPr>
          <w:rFonts w:ascii="Times New Roman" w:hAnsi="Times New Roman"/>
          <w:sz w:val="28"/>
          <w:szCs w:val="28"/>
        </w:rPr>
        <w:t>млн</w:t>
      </w:r>
      <w:proofErr w:type="gramEnd"/>
      <w:r w:rsidRPr="005B4EBA">
        <w:rPr>
          <w:rFonts w:ascii="Times New Roman" w:hAnsi="Times New Roman"/>
          <w:sz w:val="28"/>
          <w:szCs w:val="28"/>
        </w:rPr>
        <w:t xml:space="preserve"> рублей в действующих ценах, что на 3,7 % больше, чем за 2014 год. Индекс физического объема сложился на уровне 93,8 %.</w:t>
      </w:r>
    </w:p>
    <w:p w:rsidR="006C02D6" w:rsidRPr="005B4EBA" w:rsidRDefault="006C02D6" w:rsidP="006C02D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 w:cs="Times New Roman"/>
          <w:sz w:val="28"/>
          <w:szCs w:val="28"/>
        </w:rPr>
        <w:lastRenderedPageBreak/>
        <w:t>В декабре 2015 года по отношению к декабрю предыдущего года индекс потребительских цен составил 112,6 %, в том числе на продовольственные товары - 114,8 %, непр</w:t>
      </w:r>
      <w:r w:rsidR="00EE3D61">
        <w:rPr>
          <w:rFonts w:ascii="Times New Roman" w:hAnsi="Times New Roman" w:cs="Times New Roman"/>
          <w:sz w:val="28"/>
          <w:szCs w:val="28"/>
        </w:rPr>
        <w:t>одовольственные товары -</w:t>
      </w:r>
      <w:r w:rsidRPr="005B4EBA">
        <w:rPr>
          <w:rFonts w:ascii="Times New Roman" w:hAnsi="Times New Roman" w:cs="Times New Roman"/>
          <w:sz w:val="28"/>
          <w:szCs w:val="28"/>
        </w:rPr>
        <w:t xml:space="preserve"> 113,8%, что стало одной из причин снижения потребительского спроса населения, смещение его в сторону недорогих товаров.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/>
          <w:sz w:val="28"/>
          <w:szCs w:val="28"/>
        </w:rPr>
        <w:t xml:space="preserve">В настоящее время на потребительском рынке городского округа </w:t>
      </w:r>
      <w:r w:rsidRPr="005B4EBA">
        <w:rPr>
          <w:rFonts w:ascii="Times New Roman" w:hAnsi="Times New Roman" w:cs="Times New Roman"/>
          <w:sz w:val="28"/>
          <w:szCs w:val="28"/>
        </w:rPr>
        <w:t>осуществляют торговую деятельность 1 186</w:t>
      </w:r>
      <w:r w:rsidRPr="005B4EBA">
        <w:rPr>
          <w:rFonts w:ascii="Times New Roman" w:hAnsi="Times New Roman"/>
          <w:sz w:val="28"/>
          <w:szCs w:val="28"/>
        </w:rPr>
        <w:t xml:space="preserve"> магазинов (включая торговые центры), 727 павильонов, 397 палаток </w:t>
      </w:r>
      <w:r w:rsidRPr="005B4EBA">
        <w:rPr>
          <w:rFonts w:ascii="Times New Roman" w:hAnsi="Times New Roman" w:cs="Times New Roman"/>
          <w:sz w:val="28"/>
          <w:szCs w:val="28"/>
        </w:rPr>
        <w:t>и киосков, активно осуществляют деятельность торговые сети.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Cs w:val="28"/>
        </w:rPr>
      </w:pPr>
      <w:proofErr w:type="gramStart"/>
      <w:r w:rsidRPr="005B4EBA">
        <w:rPr>
          <w:rFonts w:ascii="Times New Roman" w:hAnsi="Times New Roman"/>
          <w:sz w:val="28"/>
          <w:szCs w:val="28"/>
        </w:rPr>
        <w:t xml:space="preserve">Основными тенденциями развития инфраструктуры розничной торговли является развитие крупных </w:t>
      </w:r>
      <w:r w:rsidRPr="00EB509E">
        <w:rPr>
          <w:rFonts w:ascii="Times New Roman" w:hAnsi="Times New Roman"/>
          <w:sz w:val="28"/>
          <w:szCs w:val="28"/>
        </w:rPr>
        <w:t>форматов торговли, сокращение количества объектов мелкорозничной торговли, развитие</w:t>
      </w:r>
      <w:r w:rsidRPr="005B4EBA">
        <w:rPr>
          <w:rFonts w:ascii="Times New Roman" w:hAnsi="Times New Roman"/>
          <w:sz w:val="28"/>
          <w:szCs w:val="28"/>
        </w:rPr>
        <w:t xml:space="preserve"> стационарных предприятий по сетевому принципу.</w:t>
      </w:r>
      <w:proofErr w:type="gramEnd"/>
      <w:r w:rsidRPr="005B4EBA">
        <w:rPr>
          <w:rFonts w:ascii="Times New Roman" w:hAnsi="Times New Roman"/>
          <w:sz w:val="28"/>
          <w:szCs w:val="28"/>
        </w:rPr>
        <w:t xml:space="preserve"> </w:t>
      </w:r>
      <w:r w:rsidRPr="005B4EBA">
        <w:rPr>
          <w:rFonts w:ascii="Times New Roman" w:hAnsi="Times New Roman"/>
          <w:noProof/>
          <w:sz w:val="28"/>
          <w:szCs w:val="28"/>
        </w:rPr>
        <w:t xml:space="preserve">Только за 3 последних года сданы в эксплуатацию крупные торговые центры: «Империал», «Посейдон», «Галант Плаза». </w:t>
      </w:r>
      <w:r w:rsidRPr="005B4EBA">
        <w:rPr>
          <w:rFonts w:ascii="Times New Roman" w:hAnsi="Times New Roman" w:cs="Times New Roman"/>
          <w:sz w:val="28"/>
          <w:szCs w:val="28"/>
        </w:rPr>
        <w:t xml:space="preserve">В 2015 году введено в действие 4,5 тыс. кв. метров торговых площадей. </w:t>
      </w:r>
    </w:p>
    <w:p w:rsidR="006C02D6" w:rsidRPr="002007AD" w:rsidRDefault="006C02D6" w:rsidP="006C02D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На 01.01.16 фактическая обеспеченность торговыми площадями в городском округе превысила норматив, который </w:t>
      </w:r>
      <w:r w:rsidRPr="002007AD">
        <w:rPr>
          <w:rFonts w:ascii="Times New Roman" w:hAnsi="Times New Roman" w:cs="Times New Roman"/>
          <w:sz w:val="28"/>
          <w:szCs w:val="28"/>
          <w:lang w:eastAsia="ru-RU"/>
        </w:rPr>
        <w:t>составляет 417 кв.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007AD">
        <w:rPr>
          <w:rFonts w:ascii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>етров</w:t>
      </w:r>
      <w:r w:rsidRPr="002007AD">
        <w:rPr>
          <w:rFonts w:ascii="Times New Roman" w:hAnsi="Times New Roman" w:cs="Times New Roman"/>
          <w:sz w:val="28"/>
          <w:szCs w:val="28"/>
          <w:lang w:eastAsia="ru-RU"/>
        </w:rPr>
        <w:t xml:space="preserve"> на 1000 жителей, в 1,8 раза и составила </w:t>
      </w:r>
      <w:r w:rsidRPr="002007AD">
        <w:rPr>
          <w:rFonts w:ascii="Times New Roman" w:hAnsi="Times New Roman"/>
          <w:noProof/>
          <w:sz w:val="28"/>
          <w:szCs w:val="28"/>
          <w:lang w:eastAsia="ru-RU"/>
        </w:rPr>
        <w:t xml:space="preserve">745,1 </w:t>
      </w:r>
      <w:r w:rsidRPr="002007AD">
        <w:rPr>
          <w:rFonts w:ascii="Times New Roman" w:hAnsi="Times New Roman" w:cs="Times New Roman"/>
          <w:sz w:val="28"/>
          <w:szCs w:val="28"/>
          <w:lang w:eastAsia="ru-RU"/>
        </w:rPr>
        <w:t>кв. метров.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7AD">
        <w:rPr>
          <w:rFonts w:ascii="Times New Roman" w:hAnsi="Times New Roman" w:cs="Times New Roman"/>
          <w:sz w:val="28"/>
          <w:szCs w:val="28"/>
        </w:rPr>
        <w:t xml:space="preserve">При достаточной обеспеченности торговыми площадями </w:t>
      </w:r>
      <w:r w:rsidRPr="005B4EBA">
        <w:rPr>
          <w:rFonts w:ascii="Times New Roman" w:hAnsi="Times New Roman" w:cs="Times New Roman"/>
          <w:sz w:val="28"/>
          <w:szCs w:val="28"/>
        </w:rPr>
        <w:t>сохраняется мелкорозничная торговая сеть. Упорядочение размещения мелкорозничной торговой сети - одно из направлений улучшения качества торгового обслуживания. Проводится работа по предотвращению торговли с нарушением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4EBA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Pr="005B4EBA">
        <w:rPr>
          <w:rFonts w:ascii="Times New Roman" w:hAnsi="Times New Roman" w:cs="Times New Roman"/>
          <w:sz w:val="28"/>
          <w:szCs w:val="28"/>
        </w:rPr>
        <w:t xml:space="preserve">Петропавловска-Камчатского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от 19.05.2014 № 1136, </w:t>
      </w:r>
      <w:r w:rsidRPr="005B4EBA">
        <w:rPr>
          <w:rFonts w:ascii="Times New Roman" w:hAnsi="Times New Roman" w:cs="Times New Roman"/>
          <w:sz w:val="28"/>
          <w:szCs w:val="28"/>
        </w:rPr>
        <w:t>схемы размещения нестационарных торговых объектов, а также работа по пресечению несанкционированной уличной торговли.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 w:cs="Times New Roman"/>
          <w:sz w:val="28"/>
          <w:szCs w:val="28"/>
        </w:rPr>
        <w:t>В целях поддержки предпринимательской деятельности и местных товаропроизводителей предусмотрено включение в схему новых объектов нестационарной торговой сети.</w:t>
      </w:r>
      <w:r>
        <w:rPr>
          <w:rFonts w:ascii="Times New Roman" w:hAnsi="Times New Roman" w:cs="Times New Roman"/>
          <w:sz w:val="28"/>
          <w:szCs w:val="28"/>
        </w:rPr>
        <w:t xml:space="preserve"> За 2014-2015 годы включено 37 мест.</w:t>
      </w:r>
    </w:p>
    <w:p w:rsidR="006C02D6" w:rsidRPr="005B4EBA" w:rsidRDefault="006C02D6" w:rsidP="006C02D6">
      <w:pPr>
        <w:widowControl w:val="0"/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 w:cs="Times New Roman"/>
          <w:sz w:val="28"/>
          <w:szCs w:val="28"/>
        </w:rPr>
        <w:t xml:space="preserve">В настоящее время в городском округе осуществляют деятельность  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4EBA">
        <w:rPr>
          <w:rFonts w:ascii="Times New Roman" w:hAnsi="Times New Roman" w:cs="Times New Roman"/>
          <w:sz w:val="28"/>
          <w:szCs w:val="28"/>
        </w:rPr>
        <w:t xml:space="preserve"> универсальных рынка с общим числом мест </w:t>
      </w:r>
      <w:r w:rsidRPr="002007AD">
        <w:rPr>
          <w:rFonts w:ascii="Times New Roman" w:hAnsi="Times New Roman" w:cs="Times New Roman"/>
          <w:sz w:val="28"/>
          <w:szCs w:val="28"/>
        </w:rPr>
        <w:t xml:space="preserve">261 единица, </w:t>
      </w:r>
      <w:r w:rsidRPr="005B4EBA">
        <w:rPr>
          <w:rFonts w:ascii="Times New Roman" w:hAnsi="Times New Roman" w:cs="Times New Roman"/>
          <w:sz w:val="28"/>
          <w:szCs w:val="28"/>
        </w:rPr>
        <w:t>на которых организованы отдельные сектора по продаже продукции местных товаропроизводителей, в том числе сельскохозяйственной продукции, включая крестьянские (фермерские) хозяйства. В 2017 году, в соответствии с Планом организации рынков на территории Камчатского края, планируется ввод в эксплуатацию сельскохозяйственного рынка</w:t>
      </w:r>
      <w:r w:rsidRPr="005B4EBA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B4EBA">
        <w:rPr>
          <w:rFonts w:ascii="Times New Roman" w:hAnsi="Times New Roman" w:cs="Times New Roman"/>
          <w:sz w:val="28"/>
          <w:szCs w:val="28"/>
        </w:rPr>
        <w:t>на 200 торговых мест. </w:t>
      </w:r>
    </w:p>
    <w:p w:rsidR="006C02D6" w:rsidRPr="00077D29" w:rsidRDefault="006C02D6" w:rsidP="006C02D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077D29">
        <w:rPr>
          <w:rFonts w:ascii="Times New Roman" w:hAnsi="Times New Roman" w:cs="Times New Roman"/>
          <w:sz w:val="28"/>
          <w:szCs w:val="28"/>
        </w:rPr>
        <w:t>В городском округе функционируют 8 торговых площадок, на которых организованы постоянно действующие продовольственные ярмарки на 1</w:t>
      </w:r>
      <w:r>
        <w:rPr>
          <w:rFonts w:ascii="Times New Roman" w:hAnsi="Times New Roman" w:cs="Times New Roman"/>
          <w:sz w:val="28"/>
          <w:szCs w:val="28"/>
        </w:rPr>
        <w:t>8</w:t>
      </w:r>
      <w:r w:rsidR="008768A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D29">
        <w:rPr>
          <w:rFonts w:ascii="Times New Roman" w:hAnsi="Times New Roman" w:cs="Times New Roman"/>
          <w:sz w:val="28"/>
          <w:szCs w:val="28"/>
        </w:rPr>
        <w:t xml:space="preserve">торговых мест. </w:t>
      </w:r>
    </w:p>
    <w:p w:rsidR="006C02D6" w:rsidRPr="005B4EBA" w:rsidRDefault="006C02D6" w:rsidP="006C02D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EBA">
        <w:rPr>
          <w:rFonts w:ascii="Times New Roman" w:hAnsi="Times New Roman" w:cs="Times New Roman"/>
          <w:sz w:val="28"/>
          <w:szCs w:val="28"/>
        </w:rPr>
        <w:t xml:space="preserve">В целях активизации ярмарочной деятельности проводятся универсальные ярмарки выходного дня. </w:t>
      </w:r>
      <w:r w:rsidRPr="005B4EB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 году проведено 163 ярмарки выходного дня, 11 разовых специализированных ярмарок, участниками которых были предприниматели, члены крестьянско-фермерских хозяйств, личных подсобных хозяйств, граждане, занимающиеся садоводством и огородничеством.</w:t>
      </w:r>
    </w:p>
    <w:p w:rsidR="006C02D6" w:rsidRPr="005B4EBA" w:rsidRDefault="006C02D6" w:rsidP="006C02D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 w:cs="Times New Roman"/>
          <w:noProof/>
          <w:sz w:val="28"/>
          <w:szCs w:val="28"/>
        </w:rPr>
        <w:t xml:space="preserve">По оценке, в 2016 году оборот розничной торговли в городском округе, на фоне </w:t>
      </w:r>
      <w:r w:rsidRPr="005B4EBA"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продолжающегося сокращения доходов населения,</w:t>
      </w:r>
      <w:r w:rsidRPr="005B4EBA">
        <w:rPr>
          <w:rFonts w:ascii="Times New Roman" w:hAnsi="Times New Roman" w:cs="Times New Roman"/>
          <w:sz w:val="28"/>
          <w:szCs w:val="28"/>
        </w:rPr>
        <w:t xml:space="preserve"> снижения платежеспособного спроса, а также с учетом роста ожидаемых параметров </w:t>
      </w:r>
      <w:r w:rsidRPr="005B4EBA">
        <w:rPr>
          <w:rFonts w:ascii="Times New Roman" w:hAnsi="Times New Roman" w:cs="Times New Roman"/>
          <w:sz w:val="28"/>
          <w:szCs w:val="28"/>
        </w:rPr>
        <w:lastRenderedPageBreak/>
        <w:t xml:space="preserve">инфляции до 106,0 %, незначительно, на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5B4EBA">
        <w:rPr>
          <w:rFonts w:ascii="Times New Roman" w:hAnsi="Times New Roman" w:cs="Times New Roman"/>
          <w:sz w:val="28"/>
          <w:szCs w:val="28"/>
        </w:rPr>
        <w:t xml:space="preserve">,4 %, увеличится к уровню прошлого года и в действующих ценах составит 40 110,18 </w:t>
      </w:r>
      <w:proofErr w:type="gramStart"/>
      <w:r w:rsidRPr="005B4EBA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5B4EBA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6C02D6" w:rsidRPr="005B4EBA" w:rsidRDefault="006C02D6" w:rsidP="006C02D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B4EBA">
        <w:rPr>
          <w:rFonts w:ascii="Times New Roman" w:hAnsi="Times New Roman" w:cs="Times New Roman"/>
          <w:sz w:val="28"/>
          <w:szCs w:val="28"/>
        </w:rPr>
        <w:t>Товарная структура оборота розничной торговли сохранит параметры преобладания доли продовольственных товаров в общем объеме товарооборота, которая, по оценке, составит 59,8 %,</w:t>
      </w:r>
      <w:r w:rsidRPr="005B4EBA">
        <w:rPr>
          <w:rFonts w:ascii="Times New Roman" w:eastAsia="Calibri" w:hAnsi="Times New Roman" w:cs="Times New Roman"/>
          <w:sz w:val="28"/>
          <w:szCs w:val="28"/>
        </w:rPr>
        <w:t xml:space="preserve"> непродовольственных товаров, соответственно, 40,2 %.</w:t>
      </w:r>
    </w:p>
    <w:p w:rsidR="006C02D6" w:rsidRPr="00077D29" w:rsidRDefault="006C02D6" w:rsidP="006C02D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077D29">
        <w:rPr>
          <w:rFonts w:ascii="Times New Roman" w:hAnsi="Times New Roman" w:cs="Times New Roman"/>
          <w:sz w:val="28"/>
          <w:szCs w:val="28"/>
          <w:lang w:eastAsia="ru-RU"/>
        </w:rPr>
        <w:t>При расчете прогноза развития потребительского рынка на 2017 год и на плановый период 2018 и 2019 годы учитывались следующие тенденции:</w:t>
      </w:r>
    </w:p>
    <w:p w:rsidR="006C02D6" w:rsidRPr="00077D29" w:rsidRDefault="006C02D6" w:rsidP="006C02D6">
      <w:pPr>
        <w:spacing w:after="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077D29">
        <w:rPr>
          <w:rFonts w:ascii="Times New Roman" w:hAnsi="Times New Roman" w:cs="Times New Roman"/>
          <w:sz w:val="28"/>
          <w:szCs w:val="28"/>
          <w:lang w:eastAsia="ru-RU"/>
        </w:rPr>
        <w:t xml:space="preserve">- расширение торговой </w:t>
      </w:r>
      <w:r w:rsidRPr="005908E5">
        <w:rPr>
          <w:rFonts w:ascii="Times New Roman" w:hAnsi="Times New Roman" w:cs="Times New Roman"/>
          <w:sz w:val="28"/>
          <w:szCs w:val="28"/>
          <w:lang w:eastAsia="ru-RU"/>
        </w:rPr>
        <w:t>сети;</w:t>
      </w:r>
      <w:r w:rsidRPr="00077D29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077D29">
        <w:rPr>
          <w:rFonts w:ascii="Times New Roman" w:hAnsi="Times New Roman" w:cs="Times New Roman"/>
          <w:sz w:val="28"/>
          <w:szCs w:val="28"/>
          <w:lang w:eastAsia="ru-RU"/>
        </w:rPr>
        <w:t>- размещение нестационарных торговых</w:t>
      </w:r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 объектов в соответствии с утвержденной схемой размещения нестационарных объектов;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B4EBA">
        <w:rPr>
          <w:rFonts w:ascii="Times New Roman" w:hAnsi="Times New Roman" w:cs="Times New Roman"/>
          <w:sz w:val="28"/>
          <w:szCs w:val="28"/>
          <w:lang w:eastAsia="ru-RU"/>
        </w:rPr>
        <w:t>- активное проведение ярмарок в целях обеспечения населения качественной недорогой продукцией местных производителей.</w:t>
      </w:r>
    </w:p>
    <w:p w:rsidR="006C02D6" w:rsidRPr="005B4EBA" w:rsidRDefault="006C02D6" w:rsidP="006C02D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 w:cs="Times New Roman"/>
          <w:sz w:val="28"/>
          <w:szCs w:val="28"/>
        </w:rPr>
        <w:t>В прогнозном периоде динамика развития розничной торговли и потребительского спроса будут определяться восстановлением роста доходов населения и потребительского кредитования.</w:t>
      </w:r>
    </w:p>
    <w:p w:rsidR="006C02D6" w:rsidRPr="005B4EBA" w:rsidRDefault="006C02D6" w:rsidP="006C02D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 w:cs="Times New Roman"/>
          <w:sz w:val="28"/>
          <w:szCs w:val="28"/>
        </w:rPr>
        <w:t xml:space="preserve">Согласно прогнозным расчетам, по мере роста доходов населения, снижения инфляции, снижения процента потребительского кредитования, динамика потребления населением будет восстанавливаться и темп роста оборота розничной торговли в 2017 году </w:t>
      </w:r>
      <w:r w:rsidRPr="0084232D">
        <w:rPr>
          <w:rFonts w:ascii="Times New Roman" w:hAnsi="Times New Roman" w:cs="Times New Roman"/>
          <w:sz w:val="28"/>
          <w:szCs w:val="28"/>
        </w:rPr>
        <w:t xml:space="preserve">по варианту </w:t>
      </w:r>
      <w:r w:rsidR="0084232D" w:rsidRPr="0084232D">
        <w:rPr>
          <w:rFonts w:ascii="Times New Roman" w:hAnsi="Times New Roman" w:cs="Times New Roman"/>
          <w:sz w:val="28"/>
          <w:szCs w:val="28"/>
        </w:rPr>
        <w:t>1 п</w:t>
      </w:r>
      <w:r w:rsidRPr="0084232D">
        <w:rPr>
          <w:rFonts w:ascii="Times New Roman" w:hAnsi="Times New Roman" w:cs="Times New Roman"/>
          <w:sz w:val="28"/>
          <w:szCs w:val="28"/>
        </w:rPr>
        <w:t>рогноза</w:t>
      </w:r>
      <w:r w:rsidRPr="005B4EBA">
        <w:rPr>
          <w:rFonts w:ascii="Times New Roman" w:hAnsi="Times New Roman" w:cs="Times New Roman"/>
          <w:sz w:val="28"/>
          <w:szCs w:val="28"/>
        </w:rPr>
        <w:t xml:space="preserve"> возрастет на 0,6 %, оборот розничной торговли составит 42 973,65 </w:t>
      </w:r>
      <w:proofErr w:type="gramStart"/>
      <w:r w:rsidRPr="005B4EBA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5B4EBA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84232D" w:rsidRPr="0084232D">
        <w:rPr>
          <w:rFonts w:ascii="Times New Roman" w:hAnsi="Times New Roman" w:cs="Times New Roman"/>
          <w:sz w:val="28"/>
          <w:szCs w:val="28"/>
        </w:rPr>
        <w:t xml:space="preserve">по варианту </w:t>
      </w:r>
      <w:r w:rsidR="0084232D">
        <w:rPr>
          <w:rFonts w:ascii="Times New Roman" w:hAnsi="Times New Roman" w:cs="Times New Roman"/>
          <w:sz w:val="28"/>
          <w:szCs w:val="28"/>
        </w:rPr>
        <w:t>2</w:t>
      </w:r>
      <w:r w:rsidR="0084232D" w:rsidRPr="0084232D">
        <w:rPr>
          <w:rFonts w:ascii="Times New Roman" w:hAnsi="Times New Roman" w:cs="Times New Roman"/>
          <w:sz w:val="28"/>
          <w:szCs w:val="28"/>
        </w:rPr>
        <w:t xml:space="preserve"> прогноза</w:t>
      </w:r>
      <w:r w:rsidRPr="005B4EBA">
        <w:rPr>
          <w:rFonts w:ascii="Times New Roman" w:hAnsi="Times New Roman" w:cs="Times New Roman"/>
          <w:sz w:val="28"/>
          <w:szCs w:val="28"/>
        </w:rPr>
        <w:t xml:space="preserve"> - на 0,8 % и составит 43 059,08 млн рублей.</w:t>
      </w:r>
    </w:p>
    <w:p w:rsidR="006C02D6" w:rsidRPr="005B4EBA" w:rsidRDefault="006C02D6" w:rsidP="006C02D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 w:cs="Times New Roman"/>
          <w:sz w:val="28"/>
          <w:szCs w:val="28"/>
        </w:rPr>
        <w:t xml:space="preserve">В последующие два года, в случае сохранения динамики реальных денежных доходов населения, восстановления потребительской активности </w:t>
      </w:r>
      <w:r w:rsidR="0084232D" w:rsidRPr="0084232D">
        <w:rPr>
          <w:rFonts w:ascii="Times New Roman" w:hAnsi="Times New Roman" w:cs="Times New Roman"/>
          <w:sz w:val="28"/>
          <w:szCs w:val="28"/>
        </w:rPr>
        <w:t>по варианту 1 прогноза</w:t>
      </w:r>
      <w:r w:rsidRPr="005B4EBA">
        <w:rPr>
          <w:rFonts w:ascii="Times New Roman" w:hAnsi="Times New Roman" w:cs="Times New Roman"/>
          <w:sz w:val="28"/>
          <w:szCs w:val="28"/>
        </w:rPr>
        <w:t xml:space="preserve"> темпы роста оборота розничной торговли ожидаются в границах 1,1 % - 1,6 %, </w:t>
      </w:r>
      <w:r w:rsidRPr="0084232D">
        <w:rPr>
          <w:rFonts w:ascii="Times New Roman" w:hAnsi="Times New Roman" w:cs="Times New Roman"/>
          <w:sz w:val="28"/>
          <w:szCs w:val="28"/>
        </w:rPr>
        <w:t>в условиях</w:t>
      </w:r>
      <w:r w:rsidRPr="005B4EB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4232D" w:rsidRPr="0084232D">
        <w:rPr>
          <w:rFonts w:ascii="Times New Roman" w:hAnsi="Times New Roman" w:cs="Times New Roman"/>
          <w:sz w:val="28"/>
          <w:szCs w:val="28"/>
        </w:rPr>
        <w:t>по вариант</w:t>
      </w:r>
      <w:r w:rsidR="0084232D">
        <w:rPr>
          <w:rFonts w:ascii="Times New Roman" w:hAnsi="Times New Roman" w:cs="Times New Roman"/>
          <w:sz w:val="28"/>
          <w:szCs w:val="28"/>
        </w:rPr>
        <w:t>а</w:t>
      </w:r>
      <w:r w:rsidR="0084232D" w:rsidRPr="0084232D">
        <w:rPr>
          <w:rFonts w:ascii="Times New Roman" w:hAnsi="Times New Roman" w:cs="Times New Roman"/>
          <w:sz w:val="28"/>
          <w:szCs w:val="28"/>
        </w:rPr>
        <w:t xml:space="preserve"> </w:t>
      </w:r>
      <w:r w:rsidR="0084232D">
        <w:rPr>
          <w:rFonts w:ascii="Times New Roman" w:hAnsi="Times New Roman" w:cs="Times New Roman"/>
          <w:sz w:val="28"/>
          <w:szCs w:val="28"/>
        </w:rPr>
        <w:t>2</w:t>
      </w:r>
      <w:r w:rsidR="0084232D" w:rsidRPr="0084232D">
        <w:rPr>
          <w:rFonts w:ascii="Times New Roman" w:hAnsi="Times New Roman" w:cs="Times New Roman"/>
          <w:sz w:val="28"/>
          <w:szCs w:val="28"/>
        </w:rPr>
        <w:t xml:space="preserve"> прогноза</w:t>
      </w:r>
      <w:r w:rsidR="0084232D" w:rsidRPr="005B4EBA">
        <w:rPr>
          <w:rFonts w:ascii="Times New Roman" w:hAnsi="Times New Roman" w:cs="Times New Roman"/>
          <w:sz w:val="28"/>
          <w:szCs w:val="28"/>
        </w:rPr>
        <w:t xml:space="preserve"> </w:t>
      </w:r>
      <w:r w:rsidRPr="005B4EBA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5B4EBA">
        <w:rPr>
          <w:rFonts w:ascii="Times New Roman" w:hAnsi="Times New Roman" w:cs="Times New Roman"/>
          <w:sz w:val="28"/>
          <w:szCs w:val="28"/>
        </w:rPr>
        <w:t>1,6 % - 2,2 %.</w:t>
      </w:r>
    </w:p>
    <w:p w:rsidR="0084232D" w:rsidRDefault="0084232D" w:rsidP="006C02D6">
      <w:pPr>
        <w:widowControl w:val="0"/>
        <w:spacing w:after="0"/>
        <w:rPr>
          <w:rFonts w:ascii="Times New Roman" w:hAnsi="Times New Roman"/>
          <w:bCs/>
          <w:i/>
          <w:iCs/>
          <w:sz w:val="28"/>
          <w:szCs w:val="28"/>
        </w:rPr>
      </w:pPr>
    </w:p>
    <w:p w:rsidR="0084232D" w:rsidRDefault="006C02D6" w:rsidP="0084232D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D7115B">
        <w:rPr>
          <w:rFonts w:ascii="Times New Roman" w:hAnsi="Times New Roman"/>
          <w:bCs/>
          <w:i/>
          <w:iCs/>
          <w:sz w:val="28"/>
          <w:szCs w:val="28"/>
        </w:rPr>
        <w:t>Оборот общественного питания</w:t>
      </w:r>
      <w:r w:rsidRPr="00D7115B">
        <w:rPr>
          <w:rFonts w:ascii="Times New Roman" w:hAnsi="Times New Roman"/>
          <w:i/>
          <w:sz w:val="28"/>
          <w:szCs w:val="28"/>
        </w:rPr>
        <w:t xml:space="preserve"> в 2015 году</w:t>
      </w:r>
      <w:r w:rsidRPr="005B4EBA">
        <w:rPr>
          <w:rFonts w:ascii="Times New Roman" w:hAnsi="Times New Roman"/>
          <w:sz w:val="28"/>
          <w:szCs w:val="28"/>
        </w:rPr>
        <w:t xml:space="preserve"> составил 3 457,3 </w:t>
      </w:r>
      <w:proofErr w:type="gramStart"/>
      <w:r w:rsidRPr="005B4EBA">
        <w:rPr>
          <w:rFonts w:ascii="Times New Roman" w:hAnsi="Times New Roman"/>
          <w:sz w:val="28"/>
          <w:szCs w:val="28"/>
        </w:rPr>
        <w:t>млн</w:t>
      </w:r>
      <w:proofErr w:type="gramEnd"/>
      <w:r w:rsidRPr="005B4EBA">
        <w:rPr>
          <w:rFonts w:ascii="Times New Roman" w:hAnsi="Times New Roman"/>
          <w:sz w:val="28"/>
          <w:szCs w:val="28"/>
        </w:rPr>
        <w:t xml:space="preserve"> рублей, что на 10,6 % выше уровня 201</w:t>
      </w:r>
      <w:r>
        <w:rPr>
          <w:rFonts w:ascii="Times New Roman" w:hAnsi="Times New Roman"/>
          <w:sz w:val="28"/>
          <w:szCs w:val="28"/>
        </w:rPr>
        <w:t>4</w:t>
      </w:r>
      <w:r w:rsidRPr="005B4EBA">
        <w:rPr>
          <w:rFonts w:ascii="Times New Roman" w:hAnsi="Times New Roman"/>
          <w:sz w:val="28"/>
          <w:szCs w:val="28"/>
        </w:rPr>
        <w:t xml:space="preserve"> года в действующих ценах. Индекс физического объема оборота общественного питания сложился на уровне 95,1 %.</w:t>
      </w:r>
    </w:p>
    <w:p w:rsidR="006C02D6" w:rsidRPr="005B4EBA" w:rsidRDefault="006C02D6" w:rsidP="0084232D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 w:cs="Times New Roman"/>
          <w:sz w:val="28"/>
          <w:szCs w:val="28"/>
        </w:rPr>
        <w:t xml:space="preserve">По оценке, услуги общественного питания населению предоставляют 216 предприятий общественного питания, включающие </w:t>
      </w:r>
      <w:r w:rsidRPr="005B4EBA">
        <w:rPr>
          <w:rFonts w:ascii="Times New Roman" w:eastAsia="Times New Roman" w:hAnsi="Times New Roman" w:cs="Times New Roman"/>
          <w:sz w:val="28"/>
          <w:szCs w:val="28"/>
          <w:lang w:eastAsia="ru-RU"/>
        </w:rPr>
        <w:t>13 755 посадочных</w:t>
      </w:r>
      <w:r w:rsidRPr="005B4EBA">
        <w:rPr>
          <w:rFonts w:ascii="Times New Roman" w:hAnsi="Times New Roman" w:cs="Times New Roman"/>
          <w:sz w:val="28"/>
          <w:szCs w:val="28"/>
        </w:rPr>
        <w:t xml:space="preserve"> мест. За год общедоступная сеть увеличилась на 300 посадочных мест, расширилось сетью экономичных специализированных заведений массового питания среднего ценового сегмента под общим названием «</w:t>
      </w:r>
      <w:proofErr w:type="spellStart"/>
      <w:r w:rsidRPr="005B4EBA">
        <w:rPr>
          <w:rFonts w:ascii="Times New Roman" w:hAnsi="Times New Roman" w:cs="Times New Roman"/>
          <w:sz w:val="28"/>
          <w:szCs w:val="28"/>
        </w:rPr>
        <w:t>Переку</w:t>
      </w:r>
      <w:proofErr w:type="spellEnd"/>
      <w:proofErr w:type="gramStart"/>
      <w:r w:rsidRPr="005B4EBA">
        <w:rPr>
          <w:rFonts w:ascii="Times New Roman" w:hAnsi="Times New Roman" w:cs="Times New Roman"/>
          <w:sz w:val="28"/>
          <w:szCs w:val="28"/>
          <w:lang w:val="en-US"/>
        </w:rPr>
        <w:t>City</w:t>
      </w:r>
      <w:proofErr w:type="gramEnd"/>
      <w:r w:rsidRPr="005B4EBA">
        <w:rPr>
          <w:rFonts w:ascii="Times New Roman" w:hAnsi="Times New Roman" w:cs="Times New Roman"/>
          <w:sz w:val="28"/>
          <w:szCs w:val="28"/>
        </w:rPr>
        <w:t>» (открылось кафе и диетическая столовая).</w:t>
      </w:r>
    </w:p>
    <w:p w:rsidR="006C02D6" w:rsidRPr="002007AD" w:rsidRDefault="006C02D6" w:rsidP="006C02D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/>
          <w:sz w:val="28"/>
          <w:szCs w:val="28"/>
        </w:rPr>
        <w:t xml:space="preserve">Фактическая обеспеченность предприятиями общественного питания в целом по городскому округу составляет 76 посадочных мест </w:t>
      </w:r>
      <w:r w:rsidRPr="002007AD">
        <w:rPr>
          <w:rFonts w:ascii="Times New Roman" w:hAnsi="Times New Roman"/>
          <w:sz w:val="28"/>
          <w:szCs w:val="28"/>
        </w:rPr>
        <w:t>на 1 000 жителей против 40 мест по нормативу.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 w:cs="Times New Roman"/>
          <w:spacing w:val="2"/>
          <w:sz w:val="28"/>
          <w:szCs w:val="28"/>
        </w:rPr>
        <w:t>Открытая сеть общественного питания представлена ресторанами, барами, кафе, закусочными, столовыми общедоступного типа и другими объектами. Они составляют около 69,0% от общего количества объектов общественного питания.</w:t>
      </w:r>
      <w:r w:rsidRPr="005B4EBA">
        <w:rPr>
          <w:rFonts w:ascii="Times New Roman" w:hAnsi="Times New Roman" w:cs="Times New Roman"/>
          <w:sz w:val="28"/>
          <w:szCs w:val="28"/>
        </w:rPr>
        <w:t xml:space="preserve"> Активно развивается сегмент заказа и доставки готовых блюд, кулинарных изделий на дом, в офисы.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pacing w:val="2"/>
          <w:sz w:val="28"/>
          <w:szCs w:val="28"/>
        </w:rPr>
      </w:pPr>
      <w:r w:rsidRPr="005B4EBA">
        <w:rPr>
          <w:rFonts w:ascii="Times New Roman" w:hAnsi="Times New Roman" w:cs="Times New Roman"/>
          <w:spacing w:val="2"/>
          <w:sz w:val="28"/>
          <w:szCs w:val="28"/>
        </w:rPr>
        <w:t>В структуре предприятий общественного питания около 24</w:t>
      </w:r>
      <w:r>
        <w:rPr>
          <w:rFonts w:ascii="Times New Roman" w:hAnsi="Times New Roman" w:cs="Times New Roman"/>
          <w:spacing w:val="2"/>
          <w:sz w:val="28"/>
          <w:szCs w:val="28"/>
        </w:rPr>
        <w:t>,0</w:t>
      </w:r>
      <w:r w:rsidRPr="005B4EBA">
        <w:rPr>
          <w:rFonts w:ascii="Times New Roman" w:hAnsi="Times New Roman" w:cs="Times New Roman"/>
          <w:spacing w:val="2"/>
          <w:sz w:val="28"/>
          <w:szCs w:val="28"/>
        </w:rPr>
        <w:t xml:space="preserve"> % приходится на закрытую сеть.</w:t>
      </w:r>
    </w:p>
    <w:p w:rsidR="006C02D6" w:rsidRPr="005B4EBA" w:rsidRDefault="006C02D6" w:rsidP="006C02D6">
      <w:pPr>
        <w:spacing w:after="0"/>
        <w:rPr>
          <w:rFonts w:ascii="Times New Roman" w:hAnsi="Times New Roman"/>
          <w:sz w:val="28"/>
          <w:szCs w:val="28"/>
        </w:rPr>
      </w:pPr>
      <w:r w:rsidRPr="005B4E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Доля нестационарных объектов (киоски, павильоны, </w:t>
      </w:r>
      <w:proofErr w:type="spellStart"/>
      <w:r w:rsidRPr="005B4EB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автокафе</w:t>
      </w:r>
      <w:proofErr w:type="spellEnd"/>
      <w:r w:rsidRPr="005B4EBA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общем количестве объектов общественного питания незначительна - около 7,0 %.</w:t>
      </w:r>
    </w:p>
    <w:p w:rsidR="006C02D6" w:rsidRPr="005B4EBA" w:rsidRDefault="006C02D6" w:rsidP="006C02D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B4EBA">
        <w:rPr>
          <w:rFonts w:ascii="Times New Roman" w:hAnsi="Times New Roman"/>
          <w:sz w:val="28"/>
          <w:szCs w:val="28"/>
        </w:rPr>
        <w:t>Сеть предприятий общественного питания размещена неравномерно. Большинство предприятий сосредоточено на «красной линии» городского округа.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Дальнейшее развитие данной сферы связано с развитием предпринимательства, строительством крупных торговых комплексов и объектов питания в них; открытием предприятий системы быстрого питания; тематических кафе (детские, интернет-кафе, с просмотром спортивных передач, ориентированных на национальную кухню и т.п.), предприятий общественного питания с культурной программой. </w:t>
      </w:r>
    </w:p>
    <w:p w:rsidR="006C02D6" w:rsidRPr="005B4EBA" w:rsidRDefault="006C02D6" w:rsidP="006C02D6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 w:cs="Times New Roman"/>
          <w:sz w:val="28"/>
          <w:szCs w:val="28"/>
        </w:rPr>
        <w:t xml:space="preserve">По оценке, оборот общественного питания в 2016 году составит 3 612,89 </w:t>
      </w:r>
      <w:proofErr w:type="gramStart"/>
      <w:r w:rsidRPr="005B4EBA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5B4EBA">
        <w:rPr>
          <w:rFonts w:ascii="Times New Roman" w:hAnsi="Times New Roman" w:cs="Times New Roman"/>
          <w:sz w:val="28"/>
          <w:szCs w:val="28"/>
        </w:rPr>
        <w:t xml:space="preserve"> рублей и увеличится по сравнению с 2015 г. на 4,5% в действующих ценах.</w:t>
      </w:r>
    </w:p>
    <w:p w:rsidR="006C02D6" w:rsidRPr="005B4EBA" w:rsidRDefault="006C02D6" w:rsidP="006C02D6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 w:cs="Times New Roman"/>
          <w:sz w:val="28"/>
          <w:szCs w:val="28"/>
        </w:rPr>
        <w:t>В прогнозном периоде оборот общественного питания будет развиваться сдержанными темпами и в значительной мере завис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B4EBA">
        <w:rPr>
          <w:rFonts w:ascii="Times New Roman" w:hAnsi="Times New Roman" w:cs="Times New Roman"/>
          <w:sz w:val="28"/>
          <w:szCs w:val="28"/>
        </w:rPr>
        <w:t>т от позитивных изменений в реальном секторе экономики и секторе домашних хозяйств. По мере роста денежных доходов населения, снижения уровня инфляции оборот общественного питания будет расти.</w:t>
      </w:r>
    </w:p>
    <w:p w:rsidR="006C02D6" w:rsidRPr="0018736C" w:rsidRDefault="00D7115B" w:rsidP="008423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115B">
        <w:rPr>
          <w:rFonts w:ascii="Times New Roman" w:hAnsi="Times New Roman" w:cs="Times New Roman"/>
          <w:sz w:val="28"/>
          <w:szCs w:val="28"/>
        </w:rPr>
        <w:t xml:space="preserve">По варианту 1 </w:t>
      </w:r>
      <w:r w:rsidR="006C02D6" w:rsidRPr="00D7115B">
        <w:rPr>
          <w:rFonts w:ascii="Times New Roman" w:hAnsi="Times New Roman" w:cs="Times New Roman"/>
          <w:sz w:val="28"/>
          <w:szCs w:val="28"/>
        </w:rPr>
        <w:t>Прогноз</w:t>
      </w:r>
      <w:r w:rsidRPr="00D7115B">
        <w:rPr>
          <w:rFonts w:ascii="Times New Roman" w:hAnsi="Times New Roman" w:cs="Times New Roman"/>
          <w:sz w:val="28"/>
          <w:szCs w:val="28"/>
        </w:rPr>
        <w:t>а</w:t>
      </w:r>
      <w:r w:rsidR="006C02D6" w:rsidRPr="00A6052A">
        <w:rPr>
          <w:rFonts w:ascii="Times New Roman" w:hAnsi="Times New Roman" w:cs="Times New Roman"/>
          <w:sz w:val="28"/>
          <w:szCs w:val="28"/>
        </w:rPr>
        <w:t xml:space="preserve">: оборот общественного питания в 2017 году </w:t>
      </w:r>
      <w:r w:rsidR="006C02D6">
        <w:rPr>
          <w:rFonts w:ascii="Times New Roman" w:hAnsi="Times New Roman" w:cs="Times New Roman"/>
          <w:sz w:val="28"/>
          <w:szCs w:val="28"/>
        </w:rPr>
        <w:t xml:space="preserve">ожидается в сумме </w:t>
      </w:r>
      <w:r w:rsidR="006C02D6" w:rsidRPr="00A6052A">
        <w:rPr>
          <w:rFonts w:ascii="Times New Roman" w:hAnsi="Times New Roman" w:cs="Times New Roman"/>
          <w:sz w:val="28"/>
          <w:szCs w:val="28"/>
        </w:rPr>
        <w:t xml:space="preserve">3 744,04 </w:t>
      </w:r>
      <w:proofErr w:type="gramStart"/>
      <w:r w:rsidR="006C02D6" w:rsidRPr="00A6052A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6C02D6" w:rsidRPr="00A6052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C02D6">
        <w:rPr>
          <w:rFonts w:ascii="Times New Roman" w:hAnsi="Times New Roman" w:cs="Times New Roman"/>
          <w:sz w:val="28"/>
          <w:szCs w:val="28"/>
        </w:rPr>
        <w:t xml:space="preserve"> и увеличится по сравнению с предшествующим годом на 3,6 %</w:t>
      </w:r>
      <w:r w:rsidR="006C02D6" w:rsidRPr="00A6052A">
        <w:rPr>
          <w:rFonts w:ascii="Times New Roman" w:hAnsi="Times New Roman" w:cs="Times New Roman"/>
          <w:sz w:val="28"/>
          <w:szCs w:val="28"/>
        </w:rPr>
        <w:t>, в 2018 году - 3 928,25 млн рублей</w:t>
      </w:r>
      <w:r w:rsidR="006C02D6">
        <w:rPr>
          <w:rFonts w:ascii="Times New Roman" w:hAnsi="Times New Roman" w:cs="Times New Roman"/>
          <w:sz w:val="28"/>
          <w:szCs w:val="28"/>
        </w:rPr>
        <w:t xml:space="preserve"> (4,9 %)</w:t>
      </w:r>
      <w:r w:rsidR="006C02D6" w:rsidRPr="00A6052A">
        <w:rPr>
          <w:rFonts w:ascii="Times New Roman" w:hAnsi="Times New Roman" w:cs="Times New Roman"/>
          <w:sz w:val="28"/>
          <w:szCs w:val="28"/>
        </w:rPr>
        <w:t>, в 2019 году - 4 158,48 млн рублей</w:t>
      </w:r>
      <w:r w:rsidR="006C02D6">
        <w:rPr>
          <w:rFonts w:ascii="Times New Roman" w:hAnsi="Times New Roman" w:cs="Times New Roman"/>
          <w:sz w:val="28"/>
          <w:szCs w:val="28"/>
        </w:rPr>
        <w:t xml:space="preserve"> (5,9%)</w:t>
      </w:r>
      <w:r w:rsidR="006C02D6" w:rsidRPr="00A6052A">
        <w:rPr>
          <w:rFonts w:ascii="Times New Roman" w:hAnsi="Times New Roman" w:cs="Times New Roman"/>
          <w:sz w:val="28"/>
          <w:szCs w:val="28"/>
        </w:rPr>
        <w:t>.</w:t>
      </w:r>
      <w:r w:rsidR="006C02D6">
        <w:rPr>
          <w:rFonts w:ascii="Times New Roman" w:hAnsi="Times New Roman" w:cs="Times New Roman"/>
          <w:sz w:val="28"/>
          <w:szCs w:val="28"/>
        </w:rPr>
        <w:t xml:space="preserve"> </w:t>
      </w:r>
      <w:r w:rsidRPr="00D7115B">
        <w:rPr>
          <w:rFonts w:ascii="Times New Roman" w:hAnsi="Times New Roman" w:cs="Times New Roman"/>
          <w:sz w:val="28"/>
          <w:szCs w:val="28"/>
        </w:rPr>
        <w:t xml:space="preserve">По варианту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7115B">
        <w:rPr>
          <w:rFonts w:ascii="Times New Roman" w:hAnsi="Times New Roman" w:cs="Times New Roman"/>
          <w:sz w:val="28"/>
          <w:szCs w:val="28"/>
        </w:rPr>
        <w:t xml:space="preserve"> Прогноза</w:t>
      </w:r>
      <w:r w:rsidR="006C02D6" w:rsidRPr="0018736C">
        <w:rPr>
          <w:rFonts w:ascii="Times New Roman" w:hAnsi="Times New Roman" w:cs="Times New Roman"/>
          <w:sz w:val="28"/>
          <w:szCs w:val="28"/>
        </w:rPr>
        <w:t xml:space="preserve">: </w:t>
      </w:r>
      <w:r w:rsidR="006C02D6" w:rsidRPr="003710BA">
        <w:rPr>
          <w:rFonts w:ascii="Times New Roman" w:hAnsi="Times New Roman" w:cs="Times New Roman"/>
          <w:sz w:val="28"/>
          <w:szCs w:val="28"/>
        </w:rPr>
        <w:t xml:space="preserve">оборот общественного питания в 2017 году ожидается в сумме </w:t>
      </w:r>
      <w:r w:rsidR="006C02D6" w:rsidRPr="00A6052A">
        <w:rPr>
          <w:rFonts w:ascii="Times New Roman" w:hAnsi="Times New Roman" w:cs="Times New Roman"/>
          <w:sz w:val="28"/>
          <w:szCs w:val="28"/>
        </w:rPr>
        <w:t>3</w:t>
      </w:r>
      <w:r w:rsidR="006C02D6">
        <w:rPr>
          <w:rFonts w:ascii="Times New Roman" w:hAnsi="Times New Roman" w:cs="Times New Roman"/>
          <w:sz w:val="28"/>
          <w:szCs w:val="28"/>
        </w:rPr>
        <w:t> 757,55</w:t>
      </w:r>
      <w:r w:rsidR="006C02D6" w:rsidRPr="00A605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02D6" w:rsidRPr="00A6052A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6C02D6" w:rsidRPr="00A6052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C02D6" w:rsidRPr="003710BA">
        <w:rPr>
          <w:rFonts w:ascii="Times New Roman" w:hAnsi="Times New Roman" w:cs="Times New Roman"/>
          <w:sz w:val="28"/>
          <w:szCs w:val="28"/>
        </w:rPr>
        <w:t xml:space="preserve"> </w:t>
      </w:r>
      <w:r w:rsidR="006C02D6">
        <w:rPr>
          <w:rFonts w:ascii="Times New Roman" w:hAnsi="Times New Roman" w:cs="Times New Roman"/>
          <w:sz w:val="28"/>
          <w:szCs w:val="28"/>
        </w:rPr>
        <w:t>и увеличится по сравнению с предшествующим годом на 4,0 %</w:t>
      </w:r>
      <w:r w:rsidR="006C02D6" w:rsidRPr="00A6052A">
        <w:rPr>
          <w:rFonts w:ascii="Times New Roman" w:hAnsi="Times New Roman" w:cs="Times New Roman"/>
          <w:sz w:val="28"/>
          <w:szCs w:val="28"/>
        </w:rPr>
        <w:t>, в 2018 году - 3</w:t>
      </w:r>
      <w:r w:rsidR="006C02D6">
        <w:rPr>
          <w:rFonts w:ascii="Times New Roman" w:hAnsi="Times New Roman" w:cs="Times New Roman"/>
          <w:sz w:val="28"/>
          <w:szCs w:val="28"/>
        </w:rPr>
        <w:t> 980,38</w:t>
      </w:r>
      <w:r w:rsidR="006C02D6" w:rsidRPr="00A6052A">
        <w:rPr>
          <w:rFonts w:ascii="Times New Roman" w:hAnsi="Times New Roman" w:cs="Times New Roman"/>
          <w:sz w:val="28"/>
          <w:szCs w:val="28"/>
        </w:rPr>
        <w:t xml:space="preserve"> млн рублей</w:t>
      </w:r>
      <w:r w:rsidR="006C02D6">
        <w:rPr>
          <w:rFonts w:ascii="Times New Roman" w:hAnsi="Times New Roman" w:cs="Times New Roman"/>
          <w:sz w:val="28"/>
          <w:szCs w:val="28"/>
        </w:rPr>
        <w:t xml:space="preserve"> (5,9 %)</w:t>
      </w:r>
      <w:r w:rsidR="006C02D6" w:rsidRPr="00A6052A">
        <w:rPr>
          <w:rFonts w:ascii="Times New Roman" w:hAnsi="Times New Roman" w:cs="Times New Roman"/>
          <w:sz w:val="28"/>
          <w:szCs w:val="28"/>
        </w:rPr>
        <w:t xml:space="preserve">, в 2019 году </w:t>
      </w:r>
      <w:r w:rsidR="006C02D6">
        <w:rPr>
          <w:rFonts w:ascii="Times New Roman" w:hAnsi="Times New Roman" w:cs="Times New Roman"/>
          <w:sz w:val="28"/>
          <w:szCs w:val="28"/>
        </w:rPr>
        <w:t>-</w:t>
      </w:r>
      <w:r w:rsidR="006C02D6" w:rsidRPr="00A6052A">
        <w:rPr>
          <w:rFonts w:ascii="Times New Roman" w:hAnsi="Times New Roman" w:cs="Times New Roman"/>
          <w:sz w:val="28"/>
          <w:szCs w:val="28"/>
        </w:rPr>
        <w:t xml:space="preserve"> </w:t>
      </w:r>
      <w:r w:rsidR="006C02D6">
        <w:rPr>
          <w:rFonts w:ascii="Times New Roman" w:hAnsi="Times New Roman" w:cs="Times New Roman"/>
          <w:sz w:val="28"/>
          <w:szCs w:val="28"/>
        </w:rPr>
        <w:t>4 223,42</w:t>
      </w:r>
      <w:r w:rsidR="006C02D6" w:rsidRPr="00A6052A">
        <w:rPr>
          <w:rFonts w:ascii="Times New Roman" w:hAnsi="Times New Roman" w:cs="Times New Roman"/>
          <w:sz w:val="28"/>
          <w:szCs w:val="28"/>
        </w:rPr>
        <w:t xml:space="preserve"> млн рублей</w:t>
      </w:r>
      <w:r w:rsidR="006C02D6">
        <w:rPr>
          <w:rFonts w:ascii="Times New Roman" w:hAnsi="Times New Roman" w:cs="Times New Roman"/>
          <w:sz w:val="28"/>
          <w:szCs w:val="28"/>
        </w:rPr>
        <w:t xml:space="preserve"> (6,1 %)</w:t>
      </w:r>
      <w:r w:rsidR="006C02D6" w:rsidRPr="00A605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02D6" w:rsidRPr="005B4EBA" w:rsidRDefault="006C02D6" w:rsidP="0084232D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5B4EBA"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D104AF">
        <w:rPr>
          <w:rFonts w:ascii="Times New Roman" w:hAnsi="Times New Roman" w:cs="Times New Roman"/>
          <w:sz w:val="28"/>
          <w:szCs w:val="28"/>
        </w:rPr>
        <w:t xml:space="preserve">населению </w:t>
      </w:r>
      <w:r w:rsidR="00D104AF" w:rsidRPr="005B4EB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D104AF" w:rsidRPr="005B4E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104AF">
        <w:rPr>
          <w:rFonts w:ascii="Times New Roman" w:hAnsi="Times New Roman" w:cs="Times New Roman"/>
          <w:i/>
          <w:sz w:val="28"/>
          <w:szCs w:val="28"/>
        </w:rPr>
        <w:t>оказано платных услуг</w:t>
      </w:r>
      <w:r w:rsidRPr="005B4EBA">
        <w:rPr>
          <w:rFonts w:ascii="Times New Roman" w:hAnsi="Times New Roman" w:cs="Times New Roman"/>
          <w:sz w:val="28"/>
          <w:szCs w:val="28"/>
        </w:rPr>
        <w:t xml:space="preserve"> на</w:t>
      </w:r>
      <w:r w:rsidR="00D104A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B4EBA">
        <w:rPr>
          <w:rFonts w:ascii="Times New Roman" w:hAnsi="Times New Roman" w:cs="Times New Roman"/>
          <w:sz w:val="28"/>
          <w:szCs w:val="28"/>
        </w:rPr>
        <w:t xml:space="preserve"> </w:t>
      </w:r>
      <w:r w:rsidR="00D104AF">
        <w:rPr>
          <w:rFonts w:ascii="Times New Roman" w:hAnsi="Times New Roman" w:cs="Times New Roman"/>
          <w:sz w:val="28"/>
          <w:szCs w:val="28"/>
        </w:rPr>
        <w:t xml:space="preserve">сумму </w:t>
      </w:r>
      <w:r w:rsidRPr="005B4EBA">
        <w:rPr>
          <w:rFonts w:ascii="Times New Roman" w:hAnsi="Times New Roman" w:cs="Times New Roman"/>
          <w:sz w:val="28"/>
          <w:szCs w:val="28"/>
        </w:rPr>
        <w:t xml:space="preserve">20 380,1 </w:t>
      </w:r>
      <w:proofErr w:type="gramStart"/>
      <w:r w:rsidRPr="005B4EBA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5B4EBA">
        <w:rPr>
          <w:rFonts w:ascii="Times New Roman" w:hAnsi="Times New Roman" w:cs="Times New Roman"/>
          <w:sz w:val="28"/>
          <w:szCs w:val="28"/>
        </w:rPr>
        <w:t xml:space="preserve"> рублей, что ниже уровня 2014 года на 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4EBA">
        <w:rPr>
          <w:rFonts w:ascii="Times New Roman" w:hAnsi="Times New Roman" w:cs="Times New Roman"/>
          <w:sz w:val="28"/>
          <w:szCs w:val="28"/>
        </w:rPr>
        <w:t>6 %</w:t>
      </w:r>
      <w:r w:rsidR="00D104AF">
        <w:rPr>
          <w:rFonts w:ascii="Times New Roman" w:hAnsi="Times New Roman" w:cs="Times New Roman"/>
          <w:sz w:val="28"/>
          <w:szCs w:val="28"/>
        </w:rPr>
        <w:t xml:space="preserve"> в сопоставимой оценке (</w:t>
      </w:r>
      <w:r w:rsidRPr="005B4EBA">
        <w:rPr>
          <w:rFonts w:ascii="Times New Roman" w:hAnsi="Times New Roman"/>
          <w:sz w:val="28"/>
          <w:szCs w:val="28"/>
        </w:rPr>
        <w:t>рис</w:t>
      </w:r>
      <w:r w:rsidR="00DB760C">
        <w:rPr>
          <w:rFonts w:ascii="Times New Roman" w:hAnsi="Times New Roman"/>
          <w:sz w:val="28"/>
          <w:szCs w:val="28"/>
        </w:rPr>
        <w:t>унок</w:t>
      </w:r>
      <w:r w:rsidRPr="005B4EBA">
        <w:rPr>
          <w:rFonts w:ascii="Times New Roman" w:hAnsi="Times New Roman"/>
          <w:sz w:val="28"/>
          <w:szCs w:val="28"/>
        </w:rPr>
        <w:t xml:space="preserve"> </w:t>
      </w:r>
      <w:r w:rsidR="00D7115B">
        <w:rPr>
          <w:rFonts w:ascii="Times New Roman" w:hAnsi="Times New Roman"/>
          <w:sz w:val="28"/>
          <w:szCs w:val="28"/>
        </w:rPr>
        <w:t>6</w:t>
      </w:r>
      <w:r w:rsidRPr="005B4EBA">
        <w:rPr>
          <w:rFonts w:ascii="Times New Roman" w:hAnsi="Times New Roman"/>
          <w:sz w:val="28"/>
          <w:szCs w:val="28"/>
        </w:rPr>
        <w:t>.2</w:t>
      </w:r>
      <w:r w:rsidR="00D104AF">
        <w:rPr>
          <w:rFonts w:ascii="Times New Roman" w:hAnsi="Times New Roman"/>
          <w:sz w:val="28"/>
          <w:szCs w:val="28"/>
        </w:rPr>
        <w:t>)</w:t>
      </w:r>
      <w:r w:rsidRPr="005B4EBA">
        <w:rPr>
          <w:rFonts w:ascii="Times New Roman" w:hAnsi="Times New Roman"/>
          <w:sz w:val="28"/>
          <w:szCs w:val="28"/>
        </w:rPr>
        <w:t>:</w:t>
      </w:r>
    </w:p>
    <w:p w:rsidR="006C02D6" w:rsidRPr="005B4EBA" w:rsidRDefault="006C02D6" w:rsidP="006C02D6">
      <w:pPr>
        <w:jc w:val="center"/>
        <w:rPr>
          <w:rFonts w:ascii="Times New Roman" w:hAnsi="Times New Roman"/>
          <w:i/>
          <w:iCs/>
          <w:sz w:val="24"/>
          <w:szCs w:val="24"/>
        </w:rPr>
      </w:pPr>
      <w:r w:rsidRPr="005B4EBA">
        <w:rPr>
          <w:rFonts w:ascii="Times New Roman" w:hAnsi="Times New Roman"/>
          <w:i/>
          <w:noProof/>
          <w:sz w:val="24"/>
          <w:szCs w:val="24"/>
          <w:bdr w:val="single" w:sz="4" w:space="0" w:color="auto"/>
          <w:lang w:eastAsia="ru-RU"/>
        </w:rPr>
        <w:drawing>
          <wp:inline distT="0" distB="0" distL="0" distR="0" wp14:anchorId="07BE1709" wp14:editId="22865C5C">
            <wp:extent cx="5072932" cy="2544417"/>
            <wp:effectExtent l="0" t="0" r="0" b="0"/>
            <wp:docPr id="10" name="Диаграмма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C02D6" w:rsidRPr="005B4EBA" w:rsidRDefault="006C02D6" w:rsidP="006C02D6">
      <w:pPr>
        <w:jc w:val="center"/>
        <w:rPr>
          <w:rFonts w:ascii="Times New Roman" w:hAnsi="Times New Roman"/>
          <w:i/>
          <w:iCs/>
          <w:sz w:val="24"/>
          <w:szCs w:val="24"/>
        </w:rPr>
      </w:pPr>
      <w:r w:rsidRPr="005B4EBA">
        <w:rPr>
          <w:rFonts w:ascii="Times New Roman" w:hAnsi="Times New Roman"/>
          <w:i/>
          <w:iCs/>
          <w:sz w:val="24"/>
          <w:szCs w:val="24"/>
        </w:rPr>
        <w:t xml:space="preserve">Рис. </w:t>
      </w:r>
      <w:r w:rsidR="00D7115B">
        <w:rPr>
          <w:rFonts w:ascii="Times New Roman" w:hAnsi="Times New Roman"/>
          <w:i/>
          <w:iCs/>
          <w:sz w:val="24"/>
          <w:szCs w:val="24"/>
        </w:rPr>
        <w:t>6</w:t>
      </w:r>
      <w:r w:rsidRPr="005B4EBA">
        <w:rPr>
          <w:rFonts w:ascii="Times New Roman" w:hAnsi="Times New Roman"/>
          <w:i/>
          <w:iCs/>
          <w:sz w:val="24"/>
          <w:szCs w:val="24"/>
        </w:rPr>
        <w:t xml:space="preserve">.2. Динамика показателей объема платных услуг населению 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В общем </w:t>
      </w:r>
      <w:r w:rsidRPr="00D104AF">
        <w:rPr>
          <w:rFonts w:ascii="Times New Roman" w:hAnsi="Times New Roman" w:cs="Times New Roman"/>
          <w:sz w:val="28"/>
          <w:szCs w:val="28"/>
          <w:lang w:eastAsia="ru-RU"/>
        </w:rPr>
        <w:t>объёме платных услуг</w:t>
      </w:r>
      <w:r w:rsidR="00D104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основная доля приходится на услуги обязательного характера - транспортные услуги - 25,5 %, коммунальные и жилищные </w:t>
      </w:r>
      <w:r w:rsidR="00D104A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 22,3 % и 9,5 % соответственно, связи - 20,7 %.</w:t>
      </w:r>
      <w:r w:rsidR="00D711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B4EBA">
        <w:rPr>
          <w:rFonts w:ascii="Times New Roman" w:hAnsi="Times New Roman" w:cs="Times New Roman"/>
          <w:sz w:val="28"/>
          <w:szCs w:val="28"/>
          <w:lang w:eastAsia="ru-RU"/>
        </w:rPr>
        <w:t>Доля бытовых услуг - 6,0 %, услуг системы образования - 4,1 %, медицинских услуг - 3,5 %, туристических - 2,2 %.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B4EB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Наименьшая доля принадлежит физкультурно-оздоровительным услугам - 0,8 %, ветеринарным - 0,1 %, санаторно-оздоровительным - 0,1 %.</w:t>
      </w:r>
    </w:p>
    <w:p w:rsidR="006C02D6" w:rsidRPr="005B4EBA" w:rsidRDefault="006C02D6" w:rsidP="006C02D6">
      <w:pPr>
        <w:widowControl w:val="0"/>
        <w:spacing w:after="60"/>
        <w:rPr>
          <w:rFonts w:ascii="Times New Roman" w:hAnsi="Times New Roman"/>
          <w:sz w:val="28"/>
          <w:szCs w:val="28"/>
        </w:rPr>
      </w:pPr>
      <w:r w:rsidRPr="005B4EBA">
        <w:rPr>
          <w:rFonts w:ascii="Times New Roman" w:hAnsi="Times New Roman"/>
          <w:sz w:val="28"/>
          <w:szCs w:val="28"/>
        </w:rPr>
        <w:t xml:space="preserve">Структура платных услуг населению представлена на рисунке </w:t>
      </w:r>
      <w:r w:rsidR="00D7115B">
        <w:rPr>
          <w:rFonts w:ascii="Times New Roman" w:hAnsi="Times New Roman"/>
          <w:sz w:val="28"/>
          <w:szCs w:val="28"/>
        </w:rPr>
        <w:t>6</w:t>
      </w:r>
      <w:r w:rsidRPr="005B4EBA">
        <w:rPr>
          <w:rFonts w:ascii="Times New Roman" w:hAnsi="Times New Roman"/>
          <w:sz w:val="28"/>
          <w:szCs w:val="28"/>
        </w:rPr>
        <w:t>.3.</w:t>
      </w:r>
      <w:r w:rsidR="0084232D">
        <w:rPr>
          <w:rFonts w:ascii="Times New Roman" w:hAnsi="Times New Roman"/>
          <w:sz w:val="28"/>
          <w:szCs w:val="28"/>
        </w:rPr>
        <w:t>:</w:t>
      </w:r>
    </w:p>
    <w:p w:rsidR="006C02D6" w:rsidRPr="005B4EBA" w:rsidRDefault="006C02D6" w:rsidP="006C02D6">
      <w:pPr>
        <w:widowControl w:val="0"/>
        <w:rPr>
          <w:rFonts w:ascii="Times New Roman" w:hAnsi="Times New Roman"/>
          <w:sz w:val="28"/>
          <w:szCs w:val="28"/>
        </w:rPr>
      </w:pPr>
      <w:r w:rsidRPr="0084232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791EFB8" wp14:editId="54A62575">
            <wp:extent cx="4744528" cy="2044460"/>
            <wp:effectExtent l="0" t="0" r="0" b="0"/>
            <wp:docPr id="11" name="Диаграмма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C02D6" w:rsidRPr="005B4EBA" w:rsidRDefault="006C02D6" w:rsidP="006C02D6">
      <w:pPr>
        <w:widowControl w:val="0"/>
        <w:jc w:val="center"/>
        <w:rPr>
          <w:rFonts w:ascii="Times New Roman" w:hAnsi="Times New Roman"/>
          <w:i/>
          <w:sz w:val="24"/>
          <w:szCs w:val="24"/>
        </w:rPr>
      </w:pPr>
      <w:r w:rsidRPr="005B4EBA">
        <w:rPr>
          <w:rFonts w:ascii="Times New Roman" w:hAnsi="Times New Roman"/>
          <w:i/>
          <w:sz w:val="24"/>
          <w:szCs w:val="24"/>
        </w:rPr>
        <w:t xml:space="preserve">Рис. </w:t>
      </w:r>
      <w:r w:rsidR="00D7115B">
        <w:rPr>
          <w:rFonts w:ascii="Times New Roman" w:hAnsi="Times New Roman"/>
          <w:i/>
          <w:sz w:val="24"/>
          <w:szCs w:val="24"/>
        </w:rPr>
        <w:t>6</w:t>
      </w:r>
      <w:r w:rsidRPr="005B4EBA">
        <w:rPr>
          <w:rFonts w:ascii="Times New Roman" w:hAnsi="Times New Roman"/>
          <w:i/>
          <w:sz w:val="24"/>
          <w:szCs w:val="24"/>
        </w:rPr>
        <w:t xml:space="preserve">.3.Структура платных услуг населению в 2015 году, </w:t>
      </w:r>
      <w:proofErr w:type="gramStart"/>
      <w:r w:rsidRPr="005B4EBA">
        <w:rPr>
          <w:rFonts w:ascii="Times New Roman" w:hAnsi="Times New Roman"/>
          <w:i/>
          <w:sz w:val="24"/>
          <w:szCs w:val="24"/>
        </w:rPr>
        <w:t>в</w:t>
      </w:r>
      <w:proofErr w:type="gramEnd"/>
      <w:r w:rsidRPr="005B4EBA">
        <w:rPr>
          <w:rFonts w:ascii="Times New Roman" w:hAnsi="Times New Roman"/>
          <w:i/>
          <w:sz w:val="24"/>
          <w:szCs w:val="24"/>
        </w:rPr>
        <w:t xml:space="preserve"> % к итогу</w:t>
      </w:r>
    </w:p>
    <w:p w:rsidR="006C02D6" w:rsidRPr="005B4EBA" w:rsidRDefault="006C02D6" w:rsidP="006C02D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 w:cs="Times New Roman"/>
          <w:sz w:val="28"/>
          <w:szCs w:val="28"/>
        </w:rPr>
        <w:t xml:space="preserve">В 2015 году населению городского округа оказано </w:t>
      </w:r>
      <w:r w:rsidRPr="00D7115B">
        <w:rPr>
          <w:rFonts w:ascii="Times New Roman" w:hAnsi="Times New Roman" w:cs="Times New Roman"/>
          <w:i/>
          <w:sz w:val="28"/>
          <w:szCs w:val="28"/>
        </w:rPr>
        <w:t>бытовых услуг</w:t>
      </w:r>
      <w:r w:rsidRPr="005B4EBA">
        <w:rPr>
          <w:rFonts w:ascii="Times New Roman" w:hAnsi="Times New Roman" w:cs="Times New Roman"/>
          <w:sz w:val="28"/>
          <w:szCs w:val="28"/>
        </w:rPr>
        <w:t xml:space="preserve"> на 1 233,21 </w:t>
      </w:r>
      <w:proofErr w:type="gramStart"/>
      <w:r w:rsidRPr="005B4EBA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5B4EBA">
        <w:rPr>
          <w:rFonts w:ascii="Times New Roman" w:hAnsi="Times New Roman" w:cs="Times New Roman"/>
          <w:sz w:val="28"/>
          <w:szCs w:val="28"/>
        </w:rPr>
        <w:t xml:space="preserve"> рублей, рост в действующих ценах к 2014 году составил на 4,6 %, в физическом объеме произошло снижение оборота бытовых услуг на 1,3 %. В расчете на одного жителя городского округа оказано бытовых услуг на сумму 6 813,7 рублей.</w:t>
      </w:r>
    </w:p>
    <w:p w:rsidR="00D7115B" w:rsidRDefault="006C02D6" w:rsidP="0084232D">
      <w:pPr>
        <w:widowControl w:val="0"/>
        <w:spacing w:after="0"/>
        <w:rPr>
          <w:rFonts w:ascii="Times New Roman" w:hAnsi="Times New Roman"/>
          <w:i/>
          <w:sz w:val="24"/>
          <w:szCs w:val="24"/>
        </w:rPr>
      </w:pPr>
      <w:r w:rsidRPr="005B4EBA">
        <w:rPr>
          <w:rFonts w:ascii="Times New Roman" w:hAnsi="Times New Roman"/>
          <w:sz w:val="28"/>
          <w:szCs w:val="28"/>
        </w:rPr>
        <w:t>Наибольший удельный вес в общем объеме бытовых услуг занимают услуги по ремонту и строительству жилья и других построек, по ремонту и техническому обслуживанию транспортных средств, машин и оборудования, парикмахерские и косметические услуги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4EBA">
        <w:rPr>
          <w:rFonts w:ascii="Times New Roman" w:hAnsi="Times New Roman" w:cs="Times New Roman"/>
          <w:sz w:val="28"/>
          <w:szCs w:val="28"/>
        </w:rPr>
        <w:t xml:space="preserve">В </w:t>
      </w:r>
      <w:r w:rsidR="00D7115B">
        <w:rPr>
          <w:rFonts w:ascii="Times New Roman" w:hAnsi="Times New Roman" w:cs="Times New Roman"/>
          <w:sz w:val="28"/>
          <w:szCs w:val="28"/>
        </w:rPr>
        <w:t xml:space="preserve">2017-2019 годах </w:t>
      </w:r>
      <w:r w:rsidRPr="005B4EBA">
        <w:rPr>
          <w:rFonts w:ascii="Times New Roman" w:hAnsi="Times New Roman" w:cs="Times New Roman"/>
          <w:sz w:val="28"/>
          <w:szCs w:val="28"/>
        </w:rPr>
        <w:t>на динамику объема платных услуг населению наибольшее влияние будут оказывать рост денежных доходов населения и инфляция. Общая динамика развития рынка услуг будет определяться потребительским поведением населения на рынке жилищно-коммунальных, транспортных и отдельных видов бытовых услуг, которые являются социально-значимыми и носят характер «обязательных».</w:t>
      </w:r>
    </w:p>
    <w:p w:rsidR="006C02D6" w:rsidRPr="005B4EBA" w:rsidRDefault="006C02D6" w:rsidP="006C02D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5B4EBA">
        <w:rPr>
          <w:rFonts w:ascii="Times New Roman" w:hAnsi="Times New Roman" w:cs="Times New Roman"/>
          <w:sz w:val="28"/>
          <w:szCs w:val="28"/>
          <w:lang w:eastAsia="ru-RU"/>
        </w:rPr>
        <w:t>В 2016 году оценка оборота рынка услуг в целом составит 21</w:t>
      </w:r>
      <w:r w:rsidR="00D7115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249,66 </w:t>
      </w:r>
      <w:proofErr w:type="gramStart"/>
      <w:r w:rsidRPr="005B4EBA">
        <w:rPr>
          <w:rFonts w:ascii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 рублей и увеличится по сравнению с 2015 г. на 4,27 %; индекс физического объема составит 95,7 %.</w:t>
      </w:r>
    </w:p>
    <w:p w:rsidR="006C02D6" w:rsidRDefault="00D7115B" w:rsidP="006C02D6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варианту 1 </w:t>
      </w:r>
      <w:r w:rsidR="006C02D6" w:rsidRPr="005B4EBA">
        <w:rPr>
          <w:rFonts w:ascii="Times New Roman" w:hAnsi="Times New Roman" w:cs="Times New Roman"/>
          <w:sz w:val="28"/>
          <w:szCs w:val="28"/>
          <w:lang w:eastAsia="ru-RU"/>
        </w:rPr>
        <w:t>Прогноз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6C02D6"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: к 2019 г. оборот рынка услуг составит 24 999,81 </w:t>
      </w:r>
      <w:proofErr w:type="gramStart"/>
      <w:r w:rsidR="006C02D6" w:rsidRPr="005B4EBA">
        <w:rPr>
          <w:rFonts w:ascii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="006C02D6"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 рублей и увеличится по сравнению с 2015 годом на 22,7 % в действующих ценах;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варианту 2 </w:t>
      </w:r>
      <w:r w:rsidRPr="005B4EBA">
        <w:rPr>
          <w:rFonts w:ascii="Times New Roman" w:hAnsi="Times New Roman" w:cs="Times New Roman"/>
          <w:sz w:val="28"/>
          <w:szCs w:val="28"/>
          <w:lang w:eastAsia="ru-RU"/>
        </w:rPr>
        <w:t>Прогноз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6C02D6" w:rsidRPr="005B4EBA">
        <w:rPr>
          <w:rFonts w:ascii="Times New Roman" w:hAnsi="Times New Roman" w:cs="Times New Roman"/>
          <w:sz w:val="28"/>
          <w:szCs w:val="28"/>
          <w:lang w:eastAsia="ru-RU"/>
        </w:rPr>
        <w:t xml:space="preserve">: к 2019 г. оборот рынка услуг составит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6C02D6" w:rsidRPr="005B4EBA">
        <w:rPr>
          <w:rFonts w:ascii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C02D6" w:rsidRPr="005B4EBA">
        <w:rPr>
          <w:rFonts w:ascii="Times New Roman" w:hAnsi="Times New Roman" w:cs="Times New Roman"/>
          <w:sz w:val="28"/>
          <w:szCs w:val="28"/>
          <w:lang w:eastAsia="ru-RU"/>
        </w:rPr>
        <w:t>904,50 млн рублей и увеличится по сравнению с 2015 г годом на 27,1%.</w:t>
      </w:r>
    </w:p>
    <w:p w:rsidR="006C02D6" w:rsidRDefault="0084232D" w:rsidP="00622CB2">
      <w:pPr>
        <w:pStyle w:val="1"/>
        <w:spacing w:before="240" w:after="240"/>
      </w:pPr>
      <w:bookmarkStart w:id="36" w:name="_Toc465927691"/>
      <w:r>
        <w:t>7</w:t>
      </w:r>
      <w:r w:rsidR="006C02D6" w:rsidRPr="00504419">
        <w:t>. Демография</w:t>
      </w:r>
      <w:bookmarkEnd w:id="36"/>
    </w:p>
    <w:p w:rsidR="006C02D6" w:rsidRDefault="006C02D6" w:rsidP="006C02D6">
      <w:pPr>
        <w:pStyle w:val="24"/>
        <w:ind w:firstLine="709"/>
        <w:rPr>
          <w:szCs w:val="28"/>
        </w:rPr>
      </w:pPr>
      <w:r w:rsidRPr="000D37AD">
        <w:rPr>
          <w:szCs w:val="28"/>
        </w:rPr>
        <w:t xml:space="preserve">Демографическая ситуация в </w:t>
      </w:r>
      <w:r>
        <w:rPr>
          <w:szCs w:val="28"/>
        </w:rPr>
        <w:t>городском округе</w:t>
      </w:r>
      <w:r w:rsidRPr="000D37AD">
        <w:rPr>
          <w:szCs w:val="28"/>
        </w:rPr>
        <w:t xml:space="preserve"> в 2015 году </w:t>
      </w:r>
      <w:r w:rsidRPr="00F1140E">
        <w:rPr>
          <w:szCs w:val="28"/>
        </w:rPr>
        <w:t xml:space="preserve">характеризовалась продолжающимся </w:t>
      </w:r>
      <w:r>
        <w:rPr>
          <w:szCs w:val="28"/>
        </w:rPr>
        <w:t>превышением рождаемости над смертностью, но недостаточным, чтобы полностью компенсировать миграционную убыль.</w:t>
      </w:r>
    </w:p>
    <w:p w:rsidR="006C02D6" w:rsidRDefault="006C02D6" w:rsidP="006C02D6">
      <w:pPr>
        <w:pStyle w:val="24"/>
        <w:ind w:firstLine="709"/>
        <w:rPr>
          <w:szCs w:val="28"/>
        </w:rPr>
      </w:pPr>
      <w:r>
        <w:rPr>
          <w:szCs w:val="28"/>
        </w:rPr>
        <w:t>К концу 2015 года, по сравнению с началом года, численность населения городского округа уменьшилась на 0,03% и составила 180,963 тыс</w:t>
      </w:r>
      <w:r w:rsidRPr="002C3AA8">
        <w:rPr>
          <w:szCs w:val="28"/>
        </w:rPr>
        <w:t>. человек.</w:t>
      </w:r>
      <w:r>
        <w:rPr>
          <w:szCs w:val="28"/>
        </w:rPr>
        <w:t xml:space="preserve"> Убыль населения сложилась как </w:t>
      </w:r>
      <w:r w:rsidR="00DC5E81">
        <w:rPr>
          <w:szCs w:val="28"/>
        </w:rPr>
        <w:t>результат миграционного оттока</w:t>
      </w:r>
      <w:r>
        <w:rPr>
          <w:szCs w:val="28"/>
        </w:rPr>
        <w:t xml:space="preserve"> </w:t>
      </w:r>
      <w:r w:rsidRPr="000C2665">
        <w:rPr>
          <w:szCs w:val="28"/>
        </w:rPr>
        <w:t>(-511 человека</w:t>
      </w:r>
      <w:r>
        <w:rPr>
          <w:szCs w:val="28"/>
        </w:rPr>
        <w:t>) и естественного прироста населения (</w:t>
      </w:r>
      <w:r w:rsidRPr="000C2665">
        <w:rPr>
          <w:szCs w:val="28"/>
        </w:rPr>
        <w:t>459 человек</w:t>
      </w:r>
      <w:r>
        <w:rPr>
          <w:szCs w:val="28"/>
        </w:rPr>
        <w:t>).</w:t>
      </w:r>
    </w:p>
    <w:p w:rsidR="006C02D6" w:rsidRPr="00B50253" w:rsidRDefault="006C02D6" w:rsidP="006C02D6">
      <w:pPr>
        <w:widowControl w:val="0"/>
        <w:spacing w:after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253">
        <w:rPr>
          <w:rFonts w:ascii="Times New Roman" w:hAnsi="Times New Roman" w:cs="Times New Roman"/>
          <w:sz w:val="28"/>
          <w:szCs w:val="28"/>
        </w:rPr>
        <w:t>В 2015 году в городском округе роди</w:t>
      </w:r>
      <w:r>
        <w:rPr>
          <w:rFonts w:ascii="Times New Roman" w:hAnsi="Times New Roman" w:cs="Times New Roman"/>
          <w:sz w:val="28"/>
          <w:szCs w:val="28"/>
        </w:rPr>
        <w:t>лось</w:t>
      </w:r>
      <w:r w:rsidRPr="00B50253">
        <w:rPr>
          <w:rFonts w:ascii="Times New Roman" w:hAnsi="Times New Roman" w:cs="Times New Roman"/>
          <w:sz w:val="28"/>
          <w:szCs w:val="28"/>
        </w:rPr>
        <w:t xml:space="preserve"> 2429 человек </w:t>
      </w:r>
      <w:r>
        <w:rPr>
          <w:rFonts w:ascii="Times New Roman" w:hAnsi="Times New Roman" w:cs="Times New Roman"/>
          <w:sz w:val="28"/>
          <w:szCs w:val="28"/>
        </w:rPr>
        <w:t xml:space="preserve">(увеличилось </w:t>
      </w:r>
      <w:r w:rsidRPr="00B50253">
        <w:rPr>
          <w:rFonts w:ascii="Times New Roman" w:hAnsi="Times New Roman" w:cs="Times New Roman"/>
          <w:sz w:val="28"/>
          <w:szCs w:val="28"/>
        </w:rPr>
        <w:t xml:space="preserve">к </w:t>
      </w:r>
      <w:r w:rsidRPr="00B50253">
        <w:rPr>
          <w:rFonts w:ascii="Times New Roman" w:hAnsi="Times New Roman" w:cs="Times New Roman"/>
          <w:sz w:val="28"/>
          <w:szCs w:val="28"/>
        </w:rPr>
        <w:lastRenderedPageBreak/>
        <w:t>уровню 2014 год</w:t>
      </w:r>
      <w:r>
        <w:rPr>
          <w:rFonts w:ascii="Times New Roman" w:hAnsi="Times New Roman" w:cs="Times New Roman"/>
          <w:sz w:val="28"/>
          <w:szCs w:val="28"/>
        </w:rPr>
        <w:t>а на 0,5 %</w:t>
      </w:r>
      <w:r w:rsidRPr="00B50253">
        <w:rPr>
          <w:rFonts w:ascii="Times New Roman" w:hAnsi="Times New Roman" w:cs="Times New Roman"/>
          <w:sz w:val="28"/>
          <w:szCs w:val="28"/>
        </w:rPr>
        <w:t xml:space="preserve">). </w:t>
      </w:r>
      <w:r w:rsidRPr="00B502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каждую 1000 населения в 2015 году приходилось 13,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B502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2014 году </w:t>
      </w:r>
      <w:r w:rsidR="00C72DD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13,3)</w:t>
      </w:r>
      <w:r w:rsidRPr="00B502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рождаемости в городском округе выше, чем в целом по Камчатскому краю, коэффициент рождаемости превышает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среднекраевое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на 0,4 рождений на 1000 населения. </w:t>
      </w:r>
    </w:p>
    <w:p w:rsidR="006C02D6" w:rsidRDefault="006C02D6" w:rsidP="006C02D6">
      <w:pPr>
        <w:pStyle w:val="24"/>
        <w:spacing w:after="0"/>
        <w:ind w:firstLine="709"/>
        <w:rPr>
          <w:rFonts w:eastAsia="Calibri"/>
          <w:szCs w:val="28"/>
        </w:rPr>
      </w:pPr>
      <w:r>
        <w:rPr>
          <w:szCs w:val="28"/>
        </w:rPr>
        <w:t>Число у</w:t>
      </w:r>
      <w:r w:rsidRPr="000D37AD">
        <w:rPr>
          <w:szCs w:val="28"/>
        </w:rPr>
        <w:t>мер</w:t>
      </w:r>
      <w:r>
        <w:rPr>
          <w:szCs w:val="28"/>
        </w:rPr>
        <w:t>ших в течение 2015 года</w:t>
      </w:r>
      <w:r w:rsidRPr="000D37AD">
        <w:rPr>
          <w:szCs w:val="28"/>
        </w:rPr>
        <w:t xml:space="preserve"> </w:t>
      </w:r>
      <w:r>
        <w:rPr>
          <w:szCs w:val="28"/>
        </w:rPr>
        <w:t>увеличи</w:t>
      </w:r>
      <w:r w:rsidRPr="000D37AD">
        <w:rPr>
          <w:szCs w:val="28"/>
        </w:rPr>
        <w:t xml:space="preserve">лось на </w:t>
      </w:r>
      <w:r>
        <w:rPr>
          <w:szCs w:val="28"/>
        </w:rPr>
        <w:t xml:space="preserve">1,9 </w:t>
      </w:r>
      <w:r w:rsidRPr="000D37AD">
        <w:rPr>
          <w:szCs w:val="28"/>
        </w:rPr>
        <w:t>%</w:t>
      </w:r>
      <w:r>
        <w:rPr>
          <w:szCs w:val="28"/>
        </w:rPr>
        <w:t xml:space="preserve"> </w:t>
      </w:r>
      <w:r w:rsidRPr="000D37AD">
        <w:rPr>
          <w:szCs w:val="28"/>
        </w:rPr>
        <w:t xml:space="preserve">по сравнению с </w:t>
      </w:r>
      <w:r>
        <w:rPr>
          <w:szCs w:val="28"/>
        </w:rPr>
        <w:t>2014</w:t>
      </w:r>
      <w:r w:rsidRPr="000D37AD">
        <w:rPr>
          <w:szCs w:val="28"/>
        </w:rPr>
        <w:t xml:space="preserve"> годом </w:t>
      </w:r>
      <w:r>
        <w:rPr>
          <w:szCs w:val="28"/>
        </w:rPr>
        <w:t>и составило 1970</w:t>
      </w:r>
      <w:r w:rsidRPr="000D37AD">
        <w:rPr>
          <w:szCs w:val="28"/>
        </w:rPr>
        <w:t xml:space="preserve"> человек.</w:t>
      </w:r>
      <w:r w:rsidRPr="00B50253">
        <w:t xml:space="preserve"> </w:t>
      </w:r>
      <w:r>
        <w:t xml:space="preserve">Общий коэффициент смертности составил 10,9 человек на 1000 человек населения (в 2014 году – 10,7). </w:t>
      </w:r>
      <w:r w:rsidRPr="00B50253">
        <w:rPr>
          <w:rFonts w:eastAsia="Calibri"/>
          <w:szCs w:val="28"/>
        </w:rPr>
        <w:t>Основными причинами смерти остаются болезни системы кровообращения (51,7 %), новообразования (18,4 %) и внешние причин</w:t>
      </w:r>
      <w:r>
        <w:rPr>
          <w:rFonts w:eastAsia="Calibri"/>
          <w:szCs w:val="28"/>
        </w:rPr>
        <w:t xml:space="preserve">ы </w:t>
      </w:r>
      <w:r w:rsidRPr="00B50253">
        <w:rPr>
          <w:rFonts w:eastAsia="Calibri"/>
          <w:szCs w:val="28"/>
        </w:rPr>
        <w:t>(9,5 %).</w:t>
      </w:r>
      <w:r>
        <w:rPr>
          <w:rFonts w:eastAsia="Calibri"/>
          <w:szCs w:val="28"/>
        </w:rPr>
        <w:t xml:space="preserve"> По сравнению с предыдущим годом в 2015 году незначительно снизилась смертность населения в возрасте моложе трудоспособного и в трудоспособном возрасте, но при этом увеличилась смертность в возрасте старше трудоспособного.</w:t>
      </w:r>
    </w:p>
    <w:p w:rsidR="006C02D6" w:rsidRPr="005F1C04" w:rsidRDefault="006C02D6" w:rsidP="006C02D6">
      <w:pPr>
        <w:pStyle w:val="24"/>
        <w:spacing w:after="0"/>
        <w:ind w:firstLine="709"/>
      </w:pPr>
      <w:r>
        <w:t>Коэффициент младенческой смертности остался на уровне 2014 года - 7,8 промилле (число детей на 1000 родившихся живыми). Умерло 19 малышей первого года жизни</w:t>
      </w:r>
      <w:r w:rsidR="00DB760C">
        <w:t xml:space="preserve"> </w:t>
      </w:r>
      <w:r w:rsidR="00DB760C">
        <w:rPr>
          <w:szCs w:val="28"/>
        </w:rPr>
        <w:t>(рисунок 7.1.)</w:t>
      </w:r>
      <w:r>
        <w:t>.</w:t>
      </w:r>
    </w:p>
    <w:p w:rsidR="006C02D6" w:rsidRDefault="006C02D6" w:rsidP="006C02D6">
      <w:pPr>
        <w:pStyle w:val="24"/>
        <w:ind w:firstLine="709"/>
        <w:rPr>
          <w:szCs w:val="28"/>
        </w:rPr>
      </w:pPr>
      <w:r w:rsidRPr="000D37AD">
        <w:rPr>
          <w:szCs w:val="28"/>
        </w:rPr>
        <w:t xml:space="preserve">В результате роста рождаемости и </w:t>
      </w:r>
      <w:r>
        <w:rPr>
          <w:szCs w:val="28"/>
        </w:rPr>
        <w:t xml:space="preserve">роста </w:t>
      </w:r>
      <w:r w:rsidRPr="000D37AD">
        <w:rPr>
          <w:szCs w:val="28"/>
        </w:rPr>
        <w:t xml:space="preserve">смертности естественная </w:t>
      </w:r>
      <w:r>
        <w:rPr>
          <w:szCs w:val="28"/>
        </w:rPr>
        <w:t>прибыль</w:t>
      </w:r>
      <w:r w:rsidRPr="000D37AD">
        <w:rPr>
          <w:szCs w:val="28"/>
        </w:rPr>
        <w:t xml:space="preserve"> населения</w:t>
      </w:r>
      <w:r>
        <w:rPr>
          <w:szCs w:val="28"/>
        </w:rPr>
        <w:t>,</w:t>
      </w:r>
      <w:r w:rsidRPr="000D37AD">
        <w:rPr>
          <w:szCs w:val="28"/>
        </w:rPr>
        <w:t xml:space="preserve"> по сравнению с 2014 годом</w:t>
      </w:r>
      <w:r>
        <w:rPr>
          <w:szCs w:val="28"/>
        </w:rPr>
        <w:t xml:space="preserve">, </w:t>
      </w:r>
      <w:r w:rsidRPr="000D37AD">
        <w:rPr>
          <w:szCs w:val="28"/>
        </w:rPr>
        <w:t xml:space="preserve">сократилась на </w:t>
      </w:r>
      <w:r>
        <w:rPr>
          <w:szCs w:val="28"/>
        </w:rPr>
        <w:t xml:space="preserve">3,16 </w:t>
      </w:r>
      <w:r w:rsidRPr="000D37AD">
        <w:rPr>
          <w:szCs w:val="28"/>
        </w:rPr>
        <w:t xml:space="preserve">% </w:t>
      </w:r>
      <w:r>
        <w:rPr>
          <w:szCs w:val="28"/>
        </w:rPr>
        <w:t>и составила 459 человек</w:t>
      </w:r>
      <w:r w:rsidR="00DB760C">
        <w:rPr>
          <w:szCs w:val="28"/>
        </w:rPr>
        <w:t xml:space="preserve"> </w:t>
      </w:r>
    </w:p>
    <w:p w:rsidR="006C02D6" w:rsidRDefault="006C02D6" w:rsidP="006C02D6">
      <w:pPr>
        <w:pStyle w:val="24"/>
        <w:ind w:firstLine="709"/>
        <w:rPr>
          <w:szCs w:val="28"/>
        </w:rPr>
      </w:pPr>
    </w:p>
    <w:p w:rsidR="006C02D6" w:rsidRDefault="006C02D6" w:rsidP="006C02D6">
      <w:pPr>
        <w:pStyle w:val="24"/>
        <w:ind w:firstLine="709"/>
        <w:rPr>
          <w:szCs w:val="28"/>
        </w:rPr>
      </w:pPr>
      <w:r>
        <w:rPr>
          <w:noProof/>
        </w:rPr>
        <w:drawing>
          <wp:inline distT="0" distB="0" distL="0" distR="0" wp14:anchorId="04F7DB84" wp14:editId="33ACFA8C">
            <wp:extent cx="4991100" cy="2390775"/>
            <wp:effectExtent l="0" t="0" r="19050" b="952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C02D6" w:rsidRPr="003C2B63" w:rsidRDefault="006C02D6" w:rsidP="006C02D6">
      <w:pPr>
        <w:widowControl w:val="0"/>
        <w:spacing w:after="0" w:line="232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FE6D3A">
        <w:rPr>
          <w:rFonts w:ascii="Times New Roman" w:eastAsia="Calibri" w:hAnsi="Times New Roman" w:cs="Times New Roman"/>
          <w:i/>
          <w:sz w:val="24"/>
          <w:szCs w:val="24"/>
        </w:rPr>
        <w:t xml:space="preserve">Рис. </w:t>
      </w:r>
      <w:r w:rsidR="00F55ED7"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FE6D3A">
        <w:rPr>
          <w:rFonts w:ascii="Times New Roman" w:eastAsia="Calibri" w:hAnsi="Times New Roman" w:cs="Times New Roman"/>
          <w:i/>
          <w:sz w:val="24"/>
          <w:szCs w:val="24"/>
        </w:rPr>
        <w:t xml:space="preserve">.1. </w:t>
      </w:r>
      <w:r w:rsidR="00867243">
        <w:rPr>
          <w:rFonts w:ascii="Times New Roman" w:eastAsia="Calibri" w:hAnsi="Times New Roman" w:cs="Times New Roman"/>
          <w:i/>
          <w:sz w:val="24"/>
          <w:szCs w:val="24"/>
        </w:rPr>
        <w:t>Динамика показателей р</w:t>
      </w:r>
      <w:r w:rsidRPr="00FE6D3A">
        <w:rPr>
          <w:rFonts w:ascii="Times New Roman" w:eastAsia="Calibri" w:hAnsi="Times New Roman" w:cs="Times New Roman"/>
          <w:i/>
          <w:sz w:val="24"/>
          <w:szCs w:val="24"/>
        </w:rPr>
        <w:t>ождаемост</w:t>
      </w:r>
      <w:r w:rsidR="00867243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FE6D3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C2B63">
        <w:rPr>
          <w:rFonts w:ascii="Times New Roman" w:eastAsia="Calibri" w:hAnsi="Times New Roman" w:cs="Times New Roman"/>
          <w:i/>
          <w:sz w:val="24"/>
          <w:szCs w:val="24"/>
        </w:rPr>
        <w:t>и смертност</w:t>
      </w:r>
      <w:r w:rsidR="00867243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3C2B63">
        <w:rPr>
          <w:rFonts w:ascii="Times New Roman" w:eastAsia="Calibri" w:hAnsi="Times New Roman" w:cs="Times New Roman"/>
          <w:i/>
          <w:sz w:val="24"/>
          <w:szCs w:val="24"/>
        </w:rPr>
        <w:t xml:space="preserve"> в </w:t>
      </w:r>
      <w:proofErr w:type="gramStart"/>
      <w:r w:rsidRPr="003C2B63">
        <w:rPr>
          <w:rFonts w:ascii="Times New Roman" w:eastAsia="Calibri" w:hAnsi="Times New Roman" w:cs="Times New Roman"/>
          <w:i/>
          <w:sz w:val="24"/>
          <w:szCs w:val="24"/>
        </w:rPr>
        <w:t>Петропавловск-Камчатском</w:t>
      </w:r>
      <w:proofErr w:type="gramEnd"/>
      <w:r w:rsidRPr="003C2B63">
        <w:rPr>
          <w:rFonts w:ascii="Times New Roman" w:eastAsia="Calibri" w:hAnsi="Times New Roman" w:cs="Times New Roman"/>
          <w:i/>
          <w:sz w:val="24"/>
          <w:szCs w:val="24"/>
        </w:rPr>
        <w:t xml:space="preserve"> городском округе</w:t>
      </w:r>
      <w:r w:rsidR="00867243">
        <w:rPr>
          <w:rFonts w:ascii="Times New Roman" w:eastAsia="Calibri" w:hAnsi="Times New Roman" w:cs="Times New Roman"/>
          <w:i/>
          <w:sz w:val="24"/>
          <w:szCs w:val="24"/>
        </w:rPr>
        <w:t>, в промилле</w:t>
      </w:r>
    </w:p>
    <w:p w:rsidR="006C02D6" w:rsidRDefault="006C02D6" w:rsidP="006C02D6">
      <w:pPr>
        <w:pStyle w:val="24"/>
        <w:spacing w:after="0"/>
        <w:ind w:firstLine="709"/>
      </w:pPr>
      <w:r>
        <w:t>В 2014-2015 годах в городском округе наблюдался миграционный отток населения.</w:t>
      </w:r>
    </w:p>
    <w:p w:rsidR="006C02D6" w:rsidRDefault="006C02D6" w:rsidP="006C02D6">
      <w:pPr>
        <w:pStyle w:val="24"/>
        <w:spacing w:after="0"/>
        <w:ind w:firstLine="709"/>
        <w:rPr>
          <w:szCs w:val="28"/>
        </w:rPr>
      </w:pPr>
      <w:r w:rsidRPr="00F22486">
        <w:rPr>
          <w:szCs w:val="28"/>
        </w:rPr>
        <w:t xml:space="preserve">Общий миграционный оборот в 2015 году составил 15 903 человека, что на 3,9 % ниже показателя 2014 года. </w:t>
      </w:r>
      <w:r>
        <w:rPr>
          <w:szCs w:val="28"/>
        </w:rPr>
        <w:t xml:space="preserve">В городской округ прибыло                         </w:t>
      </w:r>
      <w:r w:rsidRPr="00F22486">
        <w:rPr>
          <w:szCs w:val="28"/>
        </w:rPr>
        <w:t>7 696 человек</w:t>
      </w:r>
      <w:r>
        <w:rPr>
          <w:szCs w:val="28"/>
        </w:rPr>
        <w:t xml:space="preserve"> </w:t>
      </w:r>
      <w:r w:rsidRPr="0030018E">
        <w:rPr>
          <w:szCs w:val="28"/>
        </w:rPr>
        <w:t>(или 107,0% к уровню 2014 года),</w:t>
      </w:r>
      <w:r>
        <w:rPr>
          <w:szCs w:val="28"/>
        </w:rPr>
        <w:t xml:space="preserve"> выбыло </w:t>
      </w:r>
      <w:r w:rsidRPr="00F22486">
        <w:rPr>
          <w:szCs w:val="28"/>
        </w:rPr>
        <w:t>– 8 207 человек</w:t>
      </w:r>
      <w:r>
        <w:rPr>
          <w:szCs w:val="28"/>
        </w:rPr>
        <w:t xml:space="preserve"> </w:t>
      </w:r>
      <w:r w:rsidRPr="0030018E">
        <w:rPr>
          <w:szCs w:val="28"/>
        </w:rPr>
        <w:t>(или 87,7 % к уровню 2014 года).</w:t>
      </w:r>
      <w:r>
        <w:rPr>
          <w:szCs w:val="28"/>
        </w:rPr>
        <w:t xml:space="preserve"> По сравнению с 2014 годом к</w:t>
      </w:r>
      <w:r w:rsidRPr="002244B4">
        <w:rPr>
          <w:szCs w:val="28"/>
        </w:rPr>
        <w:t>оэффициент миграционного притока</w:t>
      </w:r>
      <w:r>
        <w:rPr>
          <w:szCs w:val="28"/>
        </w:rPr>
        <w:t xml:space="preserve"> увеличился на 7,5 %, к</w:t>
      </w:r>
      <w:r w:rsidRPr="002244B4">
        <w:rPr>
          <w:szCs w:val="28"/>
        </w:rPr>
        <w:t>оэффициент миграционного оттока</w:t>
      </w:r>
      <w:r>
        <w:rPr>
          <w:szCs w:val="28"/>
        </w:rPr>
        <w:t xml:space="preserve"> снизился на 11,9 %. </w:t>
      </w:r>
      <w:r w:rsidRPr="000D37AD">
        <w:rPr>
          <w:szCs w:val="28"/>
        </w:rPr>
        <w:t>Миграционн</w:t>
      </w:r>
      <w:r>
        <w:rPr>
          <w:szCs w:val="28"/>
        </w:rPr>
        <w:t xml:space="preserve">ая убыль </w:t>
      </w:r>
      <w:r w:rsidRPr="000D37AD">
        <w:rPr>
          <w:szCs w:val="28"/>
        </w:rPr>
        <w:t>сократил</w:t>
      </w:r>
      <w:r>
        <w:rPr>
          <w:szCs w:val="28"/>
        </w:rPr>
        <w:t>а</w:t>
      </w:r>
      <w:r w:rsidRPr="000D37AD">
        <w:rPr>
          <w:szCs w:val="28"/>
        </w:rPr>
        <w:t>с</w:t>
      </w:r>
      <w:r>
        <w:rPr>
          <w:szCs w:val="28"/>
        </w:rPr>
        <w:t>ь</w:t>
      </w:r>
      <w:r w:rsidRPr="000D37AD">
        <w:rPr>
          <w:szCs w:val="28"/>
        </w:rPr>
        <w:t xml:space="preserve"> в </w:t>
      </w:r>
      <w:r>
        <w:rPr>
          <w:szCs w:val="28"/>
        </w:rPr>
        <w:t>4,2 раза и составила 511 человек против 2 170 человек в 2014 году, что является положительным моментом в демографическом развитии городского округа.</w:t>
      </w:r>
    </w:p>
    <w:p w:rsidR="006C02D6" w:rsidRDefault="006C02D6" w:rsidP="006C02D6">
      <w:pPr>
        <w:pStyle w:val="24"/>
        <w:spacing w:after="0"/>
        <w:ind w:firstLine="709"/>
        <w:rPr>
          <w:szCs w:val="28"/>
        </w:rPr>
      </w:pPr>
      <w:r w:rsidRPr="000D37AD">
        <w:rPr>
          <w:szCs w:val="28"/>
        </w:rPr>
        <w:t>Сокращение миграционно</w:t>
      </w:r>
      <w:r>
        <w:rPr>
          <w:szCs w:val="28"/>
        </w:rPr>
        <w:t>й</w:t>
      </w:r>
      <w:r w:rsidRPr="000D37AD">
        <w:rPr>
          <w:szCs w:val="28"/>
        </w:rPr>
        <w:t xml:space="preserve"> </w:t>
      </w:r>
      <w:r>
        <w:rPr>
          <w:szCs w:val="28"/>
        </w:rPr>
        <w:t>убыли</w:t>
      </w:r>
      <w:r w:rsidRPr="000D37AD">
        <w:rPr>
          <w:szCs w:val="28"/>
        </w:rPr>
        <w:t xml:space="preserve"> произошло за счет </w:t>
      </w:r>
      <w:r>
        <w:rPr>
          <w:szCs w:val="28"/>
        </w:rPr>
        <w:t>увеличения прироста</w:t>
      </w:r>
      <w:r w:rsidRPr="000D37AD">
        <w:rPr>
          <w:szCs w:val="28"/>
        </w:rPr>
        <w:t xml:space="preserve"> в международной миграции (</w:t>
      </w:r>
      <w:r>
        <w:rPr>
          <w:szCs w:val="28"/>
        </w:rPr>
        <w:t xml:space="preserve">940 </w:t>
      </w:r>
      <w:r w:rsidRPr="000D37AD">
        <w:rPr>
          <w:szCs w:val="28"/>
        </w:rPr>
        <w:t xml:space="preserve">человек) и снижения </w:t>
      </w:r>
      <w:r>
        <w:rPr>
          <w:szCs w:val="28"/>
        </w:rPr>
        <w:t xml:space="preserve">убыли </w:t>
      </w:r>
      <w:r w:rsidRPr="000D37AD">
        <w:rPr>
          <w:szCs w:val="28"/>
        </w:rPr>
        <w:t>миграции в пределах России на 3</w:t>
      </w:r>
      <w:r>
        <w:rPr>
          <w:szCs w:val="28"/>
        </w:rPr>
        <w:t xml:space="preserve">3,0 </w:t>
      </w:r>
      <w:r w:rsidRPr="000D37AD">
        <w:rPr>
          <w:szCs w:val="28"/>
        </w:rPr>
        <w:t>%</w:t>
      </w:r>
      <w:r>
        <w:rPr>
          <w:szCs w:val="28"/>
        </w:rPr>
        <w:t xml:space="preserve"> (1451 </w:t>
      </w:r>
      <w:r w:rsidRPr="000D37AD">
        <w:rPr>
          <w:szCs w:val="28"/>
        </w:rPr>
        <w:t>человек).</w:t>
      </w:r>
      <w:r>
        <w:rPr>
          <w:szCs w:val="28"/>
        </w:rPr>
        <w:t xml:space="preserve"> </w:t>
      </w:r>
    </w:p>
    <w:p w:rsidR="006C02D6" w:rsidRPr="00F77129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трети всех миграционных перемещений обусловлено трудовой </w:t>
      </w:r>
      <w:r w:rsidRPr="00F771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миграцией населения, на втором месте – причины личного, семейного характера.</w:t>
      </w:r>
    </w:p>
    <w:p w:rsidR="006C02D6" w:rsidRPr="00F77129" w:rsidRDefault="006C02D6" w:rsidP="006C02D6">
      <w:pPr>
        <w:widowControl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77129">
        <w:rPr>
          <w:rFonts w:ascii="Times New Roman" w:eastAsia="Calibri" w:hAnsi="Times New Roman" w:cs="Times New Roman"/>
          <w:sz w:val="28"/>
          <w:szCs w:val="28"/>
        </w:rPr>
        <w:t xml:space="preserve">Миграция оказывает значительное влияние на половозрастную структуру населения городского округа. Наиболее высокой подвижностью обладает население в трудоспособном возрасте. Лица данной группы составляют более трех четвертей всей миграции городского округа. </w:t>
      </w:r>
    </w:p>
    <w:p w:rsidR="006C02D6" w:rsidRPr="00F77129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129">
        <w:rPr>
          <w:rFonts w:ascii="Times New Roman" w:eastAsia="Calibri" w:hAnsi="Times New Roman" w:cs="Times New Roman"/>
          <w:sz w:val="28"/>
          <w:szCs w:val="28"/>
        </w:rPr>
        <w:t>В 201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F77129">
        <w:rPr>
          <w:rFonts w:ascii="Times New Roman" w:eastAsia="Calibri" w:hAnsi="Times New Roman" w:cs="Times New Roman"/>
          <w:sz w:val="28"/>
          <w:szCs w:val="28"/>
        </w:rPr>
        <w:t xml:space="preserve"> году доля трудоспособного населения в составе прибывшего и выбывшего населения составила </w:t>
      </w:r>
      <w:r w:rsidRPr="001843F6">
        <w:rPr>
          <w:rFonts w:ascii="Times New Roman" w:eastAsia="Calibri" w:hAnsi="Times New Roman" w:cs="Times New Roman"/>
          <w:sz w:val="28"/>
          <w:szCs w:val="28"/>
        </w:rPr>
        <w:t>82,0</w:t>
      </w:r>
      <w:r w:rsidRPr="00F77129">
        <w:rPr>
          <w:rFonts w:ascii="Times New Roman" w:eastAsia="Calibri" w:hAnsi="Times New Roman" w:cs="Times New Roman"/>
          <w:sz w:val="28"/>
          <w:szCs w:val="28"/>
        </w:rPr>
        <w:t xml:space="preserve"> % и </w:t>
      </w:r>
      <w:r w:rsidRPr="001843F6">
        <w:rPr>
          <w:rFonts w:ascii="Times New Roman" w:eastAsia="Calibri" w:hAnsi="Times New Roman" w:cs="Times New Roman"/>
          <w:sz w:val="28"/>
          <w:szCs w:val="28"/>
        </w:rPr>
        <w:t>79,0</w:t>
      </w:r>
      <w:r w:rsidRPr="00F77129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F77129">
        <w:rPr>
          <w:rFonts w:ascii="Times New Roman" w:eastAsia="Calibri" w:hAnsi="Times New Roman" w:cs="Times New Roman"/>
          <w:sz w:val="28"/>
          <w:szCs w:val="28"/>
        </w:rPr>
        <w:t xml:space="preserve"> соответственно</w:t>
      </w:r>
    </w:p>
    <w:p w:rsidR="006C02D6" w:rsidRPr="00F77129" w:rsidRDefault="006C02D6" w:rsidP="006C02D6">
      <w:pPr>
        <w:widowControl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77129">
        <w:rPr>
          <w:rFonts w:ascii="Times New Roman" w:eastAsia="Calibri" w:hAnsi="Times New Roman" w:cs="Times New Roman"/>
          <w:sz w:val="28"/>
          <w:szCs w:val="28"/>
        </w:rPr>
        <w:t xml:space="preserve">Доля населения старше трудоспособного возраста в составе </w:t>
      </w:r>
      <w:proofErr w:type="gramStart"/>
      <w:r w:rsidRPr="00F77129">
        <w:rPr>
          <w:rFonts w:ascii="Times New Roman" w:eastAsia="Calibri" w:hAnsi="Times New Roman" w:cs="Times New Roman"/>
          <w:sz w:val="28"/>
          <w:szCs w:val="28"/>
        </w:rPr>
        <w:t>выбывших</w:t>
      </w:r>
      <w:proofErr w:type="gramEnd"/>
      <w:r w:rsidRPr="00F77129">
        <w:rPr>
          <w:rFonts w:ascii="Times New Roman" w:eastAsia="Calibri" w:hAnsi="Times New Roman" w:cs="Times New Roman"/>
          <w:sz w:val="28"/>
          <w:szCs w:val="28"/>
        </w:rPr>
        <w:t xml:space="preserve"> с территории городского округа составила 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F77129">
        <w:rPr>
          <w:rFonts w:ascii="Times New Roman" w:eastAsia="Calibri" w:hAnsi="Times New Roman" w:cs="Times New Roman"/>
          <w:sz w:val="28"/>
          <w:szCs w:val="28"/>
        </w:rPr>
        <w:t xml:space="preserve">,0 % и превысила долю прибывших на </w:t>
      </w:r>
      <w:r>
        <w:rPr>
          <w:rFonts w:ascii="Times New Roman" w:eastAsia="Calibri" w:hAnsi="Times New Roman" w:cs="Times New Roman"/>
          <w:sz w:val="28"/>
          <w:szCs w:val="28"/>
        </w:rPr>
        <w:t>4,0</w:t>
      </w:r>
      <w:r w:rsidRPr="00F77129">
        <w:rPr>
          <w:rFonts w:ascii="Times New Roman" w:eastAsia="Calibri" w:hAnsi="Times New Roman" w:cs="Times New Roman"/>
          <w:sz w:val="28"/>
          <w:szCs w:val="28"/>
        </w:rPr>
        <w:t xml:space="preserve"> %. Доля населения моложе трудоспособного возраста в составе прибывших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F77129">
        <w:rPr>
          <w:rFonts w:ascii="Times New Roman" w:eastAsia="Calibri" w:hAnsi="Times New Roman" w:cs="Times New Roman"/>
          <w:sz w:val="28"/>
          <w:szCs w:val="28"/>
        </w:rPr>
        <w:t xml:space="preserve">выбывших </w:t>
      </w:r>
      <w:r>
        <w:rPr>
          <w:rFonts w:ascii="Times New Roman" w:eastAsia="Calibri" w:hAnsi="Times New Roman" w:cs="Times New Roman"/>
          <w:sz w:val="28"/>
          <w:szCs w:val="28"/>
        </w:rPr>
        <w:t>составила 11,0 % и 10,0 %, соответственно.</w:t>
      </w:r>
    </w:p>
    <w:p w:rsidR="006C02D6" w:rsidRDefault="006C02D6" w:rsidP="006C02D6">
      <w:pPr>
        <w:pStyle w:val="24"/>
        <w:spacing w:after="0"/>
        <w:ind w:firstLine="709"/>
        <w:rPr>
          <w:rFonts w:eastAsia="Calibri"/>
          <w:szCs w:val="28"/>
        </w:rPr>
      </w:pPr>
      <w:r w:rsidRPr="00F643C1">
        <w:rPr>
          <w:rFonts w:eastAsia="Calibri"/>
          <w:szCs w:val="28"/>
          <w:lang w:eastAsia="en-US"/>
        </w:rPr>
        <w:t>В последние три года усилилась тенденция старения населения, котор</w:t>
      </w:r>
      <w:r>
        <w:rPr>
          <w:rFonts w:eastAsia="Calibri"/>
          <w:szCs w:val="28"/>
          <w:lang w:eastAsia="en-US"/>
        </w:rPr>
        <w:t>ая</w:t>
      </w:r>
      <w:r w:rsidRPr="00F643C1">
        <w:rPr>
          <w:rFonts w:eastAsia="Calibri"/>
          <w:szCs w:val="28"/>
          <w:lang w:eastAsia="en-US"/>
        </w:rPr>
        <w:t xml:space="preserve"> выражается</w:t>
      </w:r>
      <w:r w:rsidRPr="00F643C1">
        <w:rPr>
          <w:rFonts w:eastAsia="Calibri"/>
          <w:szCs w:val="28"/>
          <w:vertAlign w:val="subscript"/>
          <w:lang w:eastAsia="en-US"/>
        </w:rPr>
        <w:t xml:space="preserve"> </w:t>
      </w:r>
      <w:r w:rsidRPr="00175D2C">
        <w:rPr>
          <w:rFonts w:eastAsia="Calibri"/>
          <w:szCs w:val="28"/>
        </w:rPr>
        <w:t xml:space="preserve"> в ухудшении соотношения возрастных групп моложе и старше трудоспособного возраста. </w:t>
      </w:r>
      <w:r w:rsidRPr="00DF2416">
        <w:rPr>
          <w:szCs w:val="28"/>
        </w:rPr>
        <w:t xml:space="preserve">По состоянию на 1 января 2016 года в городском округе проживало в </w:t>
      </w:r>
      <w:r w:rsidRPr="00F77129">
        <w:rPr>
          <w:rFonts w:eastAsia="Calibri"/>
          <w:szCs w:val="28"/>
        </w:rPr>
        <w:t>трудоспособном возрасте</w:t>
      </w:r>
      <w:r w:rsidRPr="00DF2416">
        <w:rPr>
          <w:rFonts w:eastAsia="Calibri"/>
          <w:szCs w:val="28"/>
        </w:rPr>
        <w:t xml:space="preserve"> 114,050 тыс. человек (или 63,0 % от общей численности населения городского округа), 31,684 тыс. человек (или 17,5 %) </w:t>
      </w:r>
      <w:r w:rsidRPr="00F77129">
        <w:rPr>
          <w:rFonts w:eastAsia="Calibri"/>
          <w:szCs w:val="28"/>
        </w:rPr>
        <w:t>моложе трудоспособного возраста</w:t>
      </w:r>
      <w:r w:rsidR="00F04D23">
        <w:rPr>
          <w:rFonts w:eastAsia="Calibri"/>
          <w:szCs w:val="28"/>
        </w:rPr>
        <w:t>,</w:t>
      </w:r>
      <w:r>
        <w:rPr>
          <w:rFonts w:eastAsia="Calibri"/>
          <w:szCs w:val="28"/>
        </w:rPr>
        <w:t xml:space="preserve"> </w:t>
      </w:r>
      <w:r w:rsidRPr="00DF2416">
        <w:rPr>
          <w:rFonts w:eastAsia="Calibri"/>
          <w:szCs w:val="28"/>
        </w:rPr>
        <w:t xml:space="preserve">35,229 тыс. человек (или 19,5 %) </w:t>
      </w:r>
      <w:r w:rsidRPr="00F77129">
        <w:rPr>
          <w:rFonts w:eastAsia="Calibri"/>
          <w:szCs w:val="28"/>
        </w:rPr>
        <w:t xml:space="preserve">старше трудоспособного </w:t>
      </w:r>
      <w:r w:rsidRPr="00564584">
        <w:rPr>
          <w:rFonts w:eastAsia="Calibri"/>
          <w:szCs w:val="28"/>
        </w:rPr>
        <w:t xml:space="preserve">возраста (рисунок </w:t>
      </w:r>
      <w:r w:rsidR="00867243">
        <w:rPr>
          <w:rFonts w:eastAsia="Calibri"/>
          <w:szCs w:val="28"/>
        </w:rPr>
        <w:t>7</w:t>
      </w:r>
      <w:r w:rsidRPr="007F18ED">
        <w:rPr>
          <w:rFonts w:eastAsia="Calibri"/>
          <w:szCs w:val="28"/>
        </w:rPr>
        <w:t>.2.):</w:t>
      </w:r>
    </w:p>
    <w:p w:rsidR="006C02D6" w:rsidRDefault="006C02D6" w:rsidP="006C02D6">
      <w:pPr>
        <w:pStyle w:val="24"/>
        <w:spacing w:after="0"/>
        <w:ind w:firstLine="709"/>
        <w:rPr>
          <w:strike/>
          <w:szCs w:val="28"/>
        </w:rPr>
      </w:pPr>
      <w:r>
        <w:rPr>
          <w:noProof/>
        </w:rPr>
        <w:drawing>
          <wp:inline distT="0" distB="0" distL="0" distR="0" wp14:anchorId="0E148B0E" wp14:editId="4527426C">
            <wp:extent cx="4597880" cy="1725283"/>
            <wp:effectExtent l="0" t="0" r="0" b="889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6C02D6" w:rsidRPr="00FE6D3A" w:rsidRDefault="006C02D6" w:rsidP="00867243">
      <w:pPr>
        <w:pStyle w:val="24"/>
        <w:spacing w:after="120"/>
        <w:ind w:firstLine="709"/>
        <w:jc w:val="center"/>
        <w:rPr>
          <w:rFonts w:eastAsia="Calibri"/>
          <w:i/>
          <w:sz w:val="24"/>
          <w:szCs w:val="24"/>
        </w:rPr>
      </w:pPr>
      <w:r w:rsidRPr="00FE6D3A">
        <w:rPr>
          <w:rFonts w:eastAsia="Calibri"/>
          <w:i/>
          <w:sz w:val="24"/>
          <w:szCs w:val="24"/>
        </w:rPr>
        <w:t xml:space="preserve">Рис. </w:t>
      </w:r>
      <w:r w:rsidR="00F55ED7">
        <w:rPr>
          <w:rFonts w:eastAsia="Calibri"/>
          <w:i/>
          <w:sz w:val="24"/>
          <w:szCs w:val="24"/>
        </w:rPr>
        <w:t>7</w:t>
      </w:r>
      <w:r w:rsidRPr="00FE6D3A">
        <w:rPr>
          <w:rFonts w:eastAsia="Calibri"/>
          <w:i/>
          <w:sz w:val="24"/>
          <w:szCs w:val="24"/>
        </w:rPr>
        <w:t xml:space="preserve">.2. Распределение численности населения по возрастным группам </w:t>
      </w:r>
      <w:r>
        <w:rPr>
          <w:rFonts w:eastAsia="Calibri"/>
          <w:i/>
          <w:sz w:val="24"/>
          <w:szCs w:val="24"/>
        </w:rPr>
        <w:t>(</w:t>
      </w:r>
      <w:r w:rsidRPr="00FE6D3A">
        <w:rPr>
          <w:rFonts w:eastAsia="Calibri"/>
          <w:i/>
          <w:sz w:val="24"/>
          <w:szCs w:val="24"/>
        </w:rPr>
        <w:t xml:space="preserve">на </w:t>
      </w:r>
      <w:r>
        <w:rPr>
          <w:rFonts w:eastAsia="Calibri"/>
          <w:i/>
          <w:sz w:val="24"/>
          <w:szCs w:val="24"/>
        </w:rPr>
        <w:t xml:space="preserve">начало года, </w:t>
      </w:r>
      <w:proofErr w:type="gramStart"/>
      <w:r>
        <w:rPr>
          <w:rFonts w:eastAsia="Calibri"/>
          <w:i/>
          <w:sz w:val="24"/>
          <w:szCs w:val="24"/>
        </w:rPr>
        <w:t>в</w:t>
      </w:r>
      <w:proofErr w:type="gramEnd"/>
      <w:r>
        <w:rPr>
          <w:rFonts w:eastAsia="Calibri"/>
          <w:i/>
          <w:sz w:val="24"/>
          <w:szCs w:val="24"/>
        </w:rPr>
        <w:t xml:space="preserve"> % </w:t>
      </w:r>
      <w:proofErr w:type="gramStart"/>
      <w:r>
        <w:rPr>
          <w:rFonts w:eastAsia="Calibri"/>
          <w:i/>
          <w:sz w:val="24"/>
          <w:szCs w:val="24"/>
        </w:rPr>
        <w:t>к</w:t>
      </w:r>
      <w:proofErr w:type="gramEnd"/>
      <w:r>
        <w:rPr>
          <w:rFonts w:eastAsia="Calibri"/>
          <w:i/>
          <w:sz w:val="24"/>
          <w:szCs w:val="24"/>
        </w:rPr>
        <w:t xml:space="preserve"> общей численности населения)</w:t>
      </w:r>
    </w:p>
    <w:p w:rsidR="006C02D6" w:rsidRPr="00F643C1" w:rsidRDefault="006C02D6" w:rsidP="006C02D6">
      <w:pPr>
        <w:pStyle w:val="24"/>
        <w:spacing w:after="0"/>
        <w:ind w:firstLine="709"/>
        <w:rPr>
          <w:rFonts w:eastAsia="Calibri"/>
          <w:strike/>
          <w:szCs w:val="28"/>
          <w:lang w:eastAsia="en-US"/>
        </w:rPr>
      </w:pPr>
      <w:r w:rsidRPr="007F18ED">
        <w:rPr>
          <w:szCs w:val="28"/>
        </w:rPr>
        <w:t>В прогнозном периоде в трудоспособный возраст будут вступать относительно малочисленные поколения людей</w:t>
      </w:r>
      <w:r w:rsidRPr="00900190">
        <w:rPr>
          <w:szCs w:val="28"/>
        </w:rPr>
        <w:t>, рожденных в 1990-е годы.</w:t>
      </w:r>
      <w:r w:rsidRPr="00F643C1">
        <w:rPr>
          <w:strike/>
          <w:szCs w:val="28"/>
        </w:rPr>
        <w:t xml:space="preserve"> </w:t>
      </w:r>
    </w:p>
    <w:p w:rsidR="006C02D6" w:rsidRDefault="006C02D6" w:rsidP="006C02D6">
      <w:pPr>
        <w:widowControl w:val="0"/>
        <w:tabs>
          <w:tab w:val="left" w:pos="0"/>
        </w:tabs>
        <w:autoSpaceDE w:val="0"/>
        <w:autoSpaceDN w:val="0"/>
        <w:adjustRightInd w:val="0"/>
        <w:spacing w:after="0"/>
      </w:pPr>
      <w:proofErr w:type="gramStart"/>
      <w:r w:rsidRPr="00DF24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острыми проблемами демографической ситуации остаются: значительный миграционный отток населения,</w:t>
      </w:r>
      <w:r w:rsidRPr="00DE3455">
        <w:rPr>
          <w:rFonts w:ascii="Times New Roman" w:hAnsi="Times New Roman" w:cs="Times New Roman"/>
          <w:sz w:val="28"/>
          <w:szCs w:val="28"/>
        </w:rPr>
        <w:t xml:space="preserve"> в том числе отток трудоспособн</w:t>
      </w:r>
      <w:r>
        <w:rPr>
          <w:rFonts w:ascii="Times New Roman" w:hAnsi="Times New Roman" w:cs="Times New Roman"/>
          <w:sz w:val="28"/>
          <w:szCs w:val="28"/>
        </w:rPr>
        <w:t xml:space="preserve">ого населения, </w:t>
      </w:r>
      <w:r w:rsidRPr="00DE3455">
        <w:rPr>
          <w:rFonts w:ascii="Times New Roman" w:hAnsi="Times New Roman" w:cs="Times New Roman"/>
          <w:sz w:val="28"/>
          <w:szCs w:val="28"/>
        </w:rPr>
        <w:t xml:space="preserve">квалифицированных кадров, что серьезно снижает трудовой потенциал </w:t>
      </w: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DE3455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DF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высокая смертность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мужчин трудоспособного возраста;</w:t>
      </w:r>
      <w:r w:rsidRPr="00DF2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длительная стабилизация показателей смертности и средней продолжительности жизни на уровне, не соответствующем основным социальным задачам общества, увеличение доли лиц старше трудоспособного возраста.</w:t>
      </w:r>
      <w:r w:rsidRPr="00C9304F">
        <w:t xml:space="preserve"> </w:t>
      </w:r>
      <w:proofErr w:type="gramEnd"/>
    </w:p>
    <w:p w:rsidR="006C02D6" w:rsidRPr="008E48EF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Негативные демографические тенденции ставят на первый план задачи </w:t>
      </w:r>
      <w:proofErr w:type="spellStart"/>
      <w:r w:rsidRPr="008E48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народосбережения</w:t>
      </w:r>
      <w:proofErr w:type="spellEnd"/>
      <w:r w:rsidRPr="008E4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увеличения рождаемости, сокращения смертности, улучшения возрастной структуры населения. </w:t>
      </w:r>
    </w:p>
    <w:p w:rsidR="006C02D6" w:rsidRPr="000D37AD" w:rsidRDefault="006C02D6" w:rsidP="006C02D6">
      <w:pPr>
        <w:pStyle w:val="24"/>
        <w:spacing w:after="0"/>
        <w:ind w:firstLine="709"/>
        <w:rPr>
          <w:szCs w:val="28"/>
        </w:rPr>
      </w:pPr>
      <w:r>
        <w:rPr>
          <w:szCs w:val="28"/>
        </w:rPr>
        <w:t>В 2016 году сохранится превышение рождаемости над смертностью. Ожидается, что у</w:t>
      </w:r>
      <w:r w:rsidRPr="000D37AD">
        <w:rPr>
          <w:szCs w:val="28"/>
        </w:rPr>
        <w:t>ровень естественно</w:t>
      </w:r>
      <w:r>
        <w:rPr>
          <w:szCs w:val="28"/>
        </w:rPr>
        <w:t>го</w:t>
      </w:r>
      <w:r w:rsidRPr="000D37AD">
        <w:rPr>
          <w:szCs w:val="28"/>
        </w:rPr>
        <w:t xml:space="preserve"> </w:t>
      </w:r>
      <w:r>
        <w:rPr>
          <w:szCs w:val="28"/>
        </w:rPr>
        <w:t>прироста населения</w:t>
      </w:r>
      <w:r w:rsidRPr="000D37AD">
        <w:rPr>
          <w:szCs w:val="28"/>
        </w:rPr>
        <w:t xml:space="preserve"> </w:t>
      </w:r>
      <w:r>
        <w:rPr>
          <w:szCs w:val="28"/>
        </w:rPr>
        <w:t>снизится</w:t>
      </w:r>
      <w:r w:rsidRPr="000D37AD">
        <w:rPr>
          <w:szCs w:val="28"/>
        </w:rPr>
        <w:t xml:space="preserve"> </w:t>
      </w:r>
      <w:r>
        <w:rPr>
          <w:szCs w:val="28"/>
        </w:rPr>
        <w:t>до 2,1</w:t>
      </w:r>
      <w:r w:rsidRPr="000D37AD">
        <w:rPr>
          <w:szCs w:val="28"/>
        </w:rPr>
        <w:t xml:space="preserve"> человек на 1000 </w:t>
      </w:r>
      <w:r>
        <w:rPr>
          <w:szCs w:val="28"/>
        </w:rPr>
        <w:t>человек населения (промилле)</w:t>
      </w:r>
      <w:r w:rsidRPr="000D37AD">
        <w:rPr>
          <w:szCs w:val="28"/>
        </w:rPr>
        <w:t xml:space="preserve">, что обусловлено </w:t>
      </w:r>
      <w:r>
        <w:rPr>
          <w:szCs w:val="28"/>
        </w:rPr>
        <w:t xml:space="preserve">снижением темпов </w:t>
      </w:r>
      <w:r w:rsidRPr="000D37AD">
        <w:rPr>
          <w:szCs w:val="28"/>
        </w:rPr>
        <w:t xml:space="preserve">ростом </w:t>
      </w:r>
      <w:r>
        <w:rPr>
          <w:szCs w:val="28"/>
        </w:rPr>
        <w:t>рождаемости и повышением смертности населения и составит 381 человек. Коэффициент</w:t>
      </w:r>
      <w:r w:rsidRPr="000D37AD">
        <w:rPr>
          <w:szCs w:val="28"/>
        </w:rPr>
        <w:t xml:space="preserve"> рождаемости </w:t>
      </w:r>
      <w:r>
        <w:rPr>
          <w:szCs w:val="28"/>
        </w:rPr>
        <w:t>по сравнению с 2015 годом снизится с 13,4 промилле до 13,3 промилле. Коэффициент</w:t>
      </w:r>
      <w:r w:rsidRPr="000D37AD">
        <w:rPr>
          <w:szCs w:val="28"/>
        </w:rPr>
        <w:t xml:space="preserve"> смертности</w:t>
      </w:r>
      <w:r>
        <w:rPr>
          <w:szCs w:val="28"/>
        </w:rPr>
        <w:t>,</w:t>
      </w:r>
      <w:r w:rsidRPr="000D37AD">
        <w:rPr>
          <w:szCs w:val="28"/>
        </w:rPr>
        <w:t xml:space="preserve"> </w:t>
      </w:r>
      <w:r>
        <w:rPr>
          <w:szCs w:val="28"/>
        </w:rPr>
        <w:t xml:space="preserve">по оценке, составит </w:t>
      </w:r>
      <w:r w:rsidRPr="000D37AD">
        <w:rPr>
          <w:szCs w:val="28"/>
        </w:rPr>
        <w:lastRenderedPageBreak/>
        <w:t>1</w:t>
      </w:r>
      <w:r>
        <w:rPr>
          <w:szCs w:val="28"/>
        </w:rPr>
        <w:t>1</w:t>
      </w:r>
      <w:r w:rsidRPr="000D37AD">
        <w:rPr>
          <w:szCs w:val="28"/>
        </w:rPr>
        <w:t>,</w:t>
      </w:r>
      <w:r>
        <w:rPr>
          <w:szCs w:val="28"/>
        </w:rPr>
        <w:t>2</w:t>
      </w:r>
      <w:r w:rsidRPr="000D37AD">
        <w:rPr>
          <w:szCs w:val="28"/>
        </w:rPr>
        <w:t xml:space="preserve"> </w:t>
      </w:r>
      <w:r>
        <w:rPr>
          <w:szCs w:val="28"/>
        </w:rPr>
        <w:t>промилле</w:t>
      </w:r>
      <w:r w:rsidRPr="000D37AD">
        <w:rPr>
          <w:szCs w:val="28"/>
        </w:rPr>
        <w:t>.</w:t>
      </w:r>
    </w:p>
    <w:p w:rsidR="006C02D6" w:rsidRDefault="006C02D6" w:rsidP="006C02D6">
      <w:pPr>
        <w:pStyle w:val="24"/>
        <w:spacing w:after="0"/>
        <w:ind w:firstLine="709"/>
        <w:rPr>
          <w:szCs w:val="28"/>
        </w:rPr>
      </w:pPr>
      <w:r>
        <w:rPr>
          <w:szCs w:val="28"/>
        </w:rPr>
        <w:t xml:space="preserve">Планируется, что в 2016 году коэффициент </w:t>
      </w:r>
      <w:r w:rsidRPr="000D37AD">
        <w:rPr>
          <w:szCs w:val="28"/>
        </w:rPr>
        <w:t>миграционно</w:t>
      </w:r>
      <w:r>
        <w:rPr>
          <w:szCs w:val="28"/>
        </w:rPr>
        <w:t>й</w:t>
      </w:r>
      <w:r w:rsidRPr="000D37AD">
        <w:rPr>
          <w:szCs w:val="28"/>
        </w:rPr>
        <w:t xml:space="preserve"> </w:t>
      </w:r>
      <w:r>
        <w:rPr>
          <w:szCs w:val="28"/>
        </w:rPr>
        <w:t xml:space="preserve">убыли снизится на 20,0 процентных пунктов по сравнению с 2015 годом и </w:t>
      </w:r>
      <w:r w:rsidRPr="000D37AD">
        <w:rPr>
          <w:szCs w:val="28"/>
        </w:rPr>
        <w:t xml:space="preserve">по </w:t>
      </w:r>
      <w:r>
        <w:rPr>
          <w:szCs w:val="28"/>
        </w:rPr>
        <w:t>оценке</w:t>
      </w:r>
      <w:r w:rsidRPr="000D37AD">
        <w:rPr>
          <w:szCs w:val="28"/>
        </w:rPr>
        <w:t xml:space="preserve"> </w:t>
      </w:r>
      <w:r>
        <w:rPr>
          <w:szCs w:val="28"/>
        </w:rPr>
        <w:t xml:space="preserve">составит 8,2 человека на </w:t>
      </w:r>
      <w:r w:rsidRPr="00762535">
        <w:rPr>
          <w:szCs w:val="28"/>
        </w:rPr>
        <w:t>10 000 человек населения</w:t>
      </w:r>
      <w:r>
        <w:rPr>
          <w:szCs w:val="28"/>
        </w:rPr>
        <w:t>.</w:t>
      </w:r>
      <w:r w:rsidRPr="000D37AD">
        <w:rPr>
          <w:szCs w:val="28"/>
        </w:rPr>
        <w:t xml:space="preserve"> </w:t>
      </w:r>
    </w:p>
    <w:p w:rsidR="006C02D6" w:rsidRDefault="006C02D6" w:rsidP="006C02D6">
      <w:pPr>
        <w:pStyle w:val="24"/>
        <w:spacing w:after="0"/>
        <w:ind w:firstLine="709"/>
        <w:rPr>
          <w:szCs w:val="28"/>
        </w:rPr>
      </w:pPr>
      <w:r>
        <w:rPr>
          <w:szCs w:val="28"/>
        </w:rPr>
        <w:t>В результате,</w:t>
      </w:r>
      <w:r w:rsidRPr="002A338B">
        <w:rPr>
          <w:szCs w:val="28"/>
        </w:rPr>
        <w:t xml:space="preserve"> среднегодовая</w:t>
      </w:r>
      <w:r w:rsidRPr="000D37AD">
        <w:rPr>
          <w:szCs w:val="28"/>
        </w:rPr>
        <w:t xml:space="preserve"> численность постоянного населения </w:t>
      </w:r>
      <w:r>
        <w:rPr>
          <w:szCs w:val="28"/>
        </w:rPr>
        <w:t xml:space="preserve">городского округа </w:t>
      </w:r>
      <w:r w:rsidRPr="002A338B">
        <w:rPr>
          <w:szCs w:val="28"/>
        </w:rPr>
        <w:t xml:space="preserve">в 2016 году </w:t>
      </w:r>
      <w:r>
        <w:rPr>
          <w:szCs w:val="28"/>
        </w:rPr>
        <w:t>должна увеличиться</w:t>
      </w:r>
      <w:r w:rsidRPr="000D37AD">
        <w:rPr>
          <w:szCs w:val="28"/>
        </w:rPr>
        <w:t xml:space="preserve"> по сравнению с 2015 годом на 0,</w:t>
      </w:r>
      <w:r>
        <w:rPr>
          <w:szCs w:val="28"/>
        </w:rPr>
        <w:t xml:space="preserve">05 </w:t>
      </w:r>
      <w:r w:rsidRPr="000D37AD">
        <w:rPr>
          <w:szCs w:val="28"/>
        </w:rPr>
        <w:t>%</w:t>
      </w:r>
      <w:r>
        <w:rPr>
          <w:szCs w:val="28"/>
        </w:rPr>
        <w:t xml:space="preserve"> (90 человек) </w:t>
      </w:r>
      <w:r w:rsidRPr="000D37AD">
        <w:rPr>
          <w:szCs w:val="28"/>
        </w:rPr>
        <w:t>и составит</w:t>
      </w:r>
      <w:r>
        <w:rPr>
          <w:szCs w:val="28"/>
        </w:rPr>
        <w:t>ь</w:t>
      </w:r>
      <w:r w:rsidRPr="000D37AD">
        <w:rPr>
          <w:szCs w:val="28"/>
        </w:rPr>
        <w:t xml:space="preserve"> </w:t>
      </w:r>
      <w:r w:rsidRPr="00265440">
        <w:rPr>
          <w:szCs w:val="28"/>
        </w:rPr>
        <w:t>18</w:t>
      </w:r>
      <w:r>
        <w:rPr>
          <w:szCs w:val="28"/>
        </w:rPr>
        <w:t>1,</w:t>
      </w:r>
      <w:r w:rsidRPr="00265440">
        <w:rPr>
          <w:szCs w:val="28"/>
        </w:rPr>
        <w:t>07</w:t>
      </w:r>
      <w:r>
        <w:rPr>
          <w:szCs w:val="28"/>
        </w:rPr>
        <w:t>9</w:t>
      </w:r>
      <w:r w:rsidRPr="00265440">
        <w:rPr>
          <w:szCs w:val="28"/>
        </w:rPr>
        <w:t xml:space="preserve"> тыс. человек</w:t>
      </w:r>
      <w:r w:rsidRPr="000D37AD">
        <w:rPr>
          <w:szCs w:val="28"/>
        </w:rPr>
        <w:t xml:space="preserve">. </w:t>
      </w:r>
    </w:p>
    <w:p w:rsidR="006C02D6" w:rsidRDefault="006C02D6" w:rsidP="006C02D6">
      <w:pPr>
        <w:pStyle w:val="24"/>
        <w:spacing w:after="0"/>
        <w:ind w:firstLine="709"/>
        <w:rPr>
          <w:szCs w:val="28"/>
        </w:rPr>
      </w:pPr>
      <w:proofErr w:type="gramStart"/>
      <w:r>
        <w:rPr>
          <w:szCs w:val="28"/>
        </w:rPr>
        <w:t xml:space="preserve">Прогноз демографических показателей на 2017-2019 годы </w:t>
      </w:r>
      <w:r w:rsidRPr="0033338F">
        <w:rPr>
          <w:szCs w:val="28"/>
        </w:rPr>
        <w:t xml:space="preserve">исходит </w:t>
      </w:r>
      <w:r>
        <w:rPr>
          <w:szCs w:val="28"/>
        </w:rPr>
        <w:t xml:space="preserve">из сложившихся тенденций демографического развития в городском округе в 2015 и текущем годах, учитывает реализацию мероприятий социальной направленности в части увеличения рождаемости, продолжительности жизни населения, сокращения уровня смертности, а также реализацию мер по созданию комфортных условий для проживания в городском округе. </w:t>
      </w:r>
      <w:proofErr w:type="gramEnd"/>
    </w:p>
    <w:p w:rsidR="006C02D6" w:rsidRDefault="006C02D6" w:rsidP="006C02D6">
      <w:pPr>
        <w:pStyle w:val="24"/>
        <w:spacing w:after="0"/>
        <w:ind w:firstLine="709"/>
        <w:rPr>
          <w:szCs w:val="28"/>
        </w:rPr>
      </w:pPr>
      <w:r>
        <w:rPr>
          <w:szCs w:val="28"/>
        </w:rPr>
        <w:t>На развитие демографической ситуации окажут влияние следующие основные факторы:</w:t>
      </w:r>
    </w:p>
    <w:p w:rsidR="006C02D6" w:rsidRDefault="006C02D6" w:rsidP="006C02D6">
      <w:pPr>
        <w:pStyle w:val="24"/>
        <w:ind w:firstLine="709"/>
        <w:rPr>
          <w:szCs w:val="28"/>
        </w:rPr>
      </w:pPr>
      <w:r>
        <w:rPr>
          <w:szCs w:val="28"/>
        </w:rPr>
        <w:t xml:space="preserve">- изменение возрастной структуры населения: продолжится ежегодное снижение численности женщин в наиболее активных репродуктивных возрастах 20-29 лет, что не позволяет ожидать высоких темпов роста рождаемости. Также учитывается откладывание рождения первых детей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более поздние возраста. При этом численность женщин средних возрастов 30-39 лет в среднесрочном периоде будет увеличиваться, на данный возраст приходится около 40,0 % рождений в год;</w:t>
      </w:r>
    </w:p>
    <w:p w:rsidR="006C02D6" w:rsidRPr="00646640" w:rsidRDefault="006C02D6" w:rsidP="006C02D6">
      <w:pPr>
        <w:pStyle w:val="Default"/>
        <w:spacing w:after="60"/>
        <w:rPr>
          <w:sz w:val="28"/>
          <w:szCs w:val="28"/>
        </w:rPr>
      </w:pPr>
      <w:proofErr w:type="gramStart"/>
      <w:r w:rsidRPr="007F18ED">
        <w:rPr>
          <w:sz w:val="28"/>
          <w:szCs w:val="28"/>
        </w:rPr>
        <w:t>- старение населения и ухудшение возрастной структуры населения: продолжится увеличение численности граждан пожилых возрастов и сокращение численности населения трудоспособного возраста, что обуславливает некоторое увеличение общей смертности населения</w:t>
      </w:r>
      <w:r>
        <w:rPr>
          <w:sz w:val="28"/>
          <w:szCs w:val="28"/>
        </w:rPr>
        <w:t>;</w:t>
      </w:r>
      <w:r w:rsidRPr="007F18ED">
        <w:rPr>
          <w:sz w:val="28"/>
          <w:szCs w:val="28"/>
        </w:rPr>
        <w:t xml:space="preserve"> </w:t>
      </w:r>
      <w:proofErr w:type="gramEnd"/>
    </w:p>
    <w:p w:rsidR="006C02D6" w:rsidRDefault="006C02D6" w:rsidP="00C72DD0">
      <w:pPr>
        <w:pStyle w:val="24"/>
        <w:spacing w:after="0"/>
        <w:ind w:firstLine="709"/>
        <w:rPr>
          <w:szCs w:val="28"/>
        </w:rPr>
      </w:pPr>
      <w:r w:rsidRPr="006D404A">
        <w:rPr>
          <w:szCs w:val="28"/>
        </w:rPr>
        <w:t xml:space="preserve">- </w:t>
      </w:r>
      <w:r w:rsidRPr="00646640">
        <w:rPr>
          <w:szCs w:val="28"/>
        </w:rPr>
        <w:t>миграционный отток населения: комплекс мероприятий по развитию Дальнего Востока (</w:t>
      </w:r>
      <w:r w:rsidR="0063631A">
        <w:rPr>
          <w:szCs w:val="28"/>
        </w:rPr>
        <w:t xml:space="preserve">ТОСЭР «Камчатка», </w:t>
      </w:r>
      <w:r w:rsidRPr="00646640">
        <w:rPr>
          <w:szCs w:val="28"/>
        </w:rPr>
        <w:t>режим свободного порта Владивосток), привлечение соотечественников, проживающих за рубежом, обучающейся молодежи должен привести к увеличению миграционного притока.</w:t>
      </w:r>
    </w:p>
    <w:p w:rsidR="006C02D6" w:rsidRPr="009E1E24" w:rsidRDefault="006C02D6" w:rsidP="00C72DD0">
      <w:pPr>
        <w:pStyle w:val="24"/>
        <w:spacing w:after="0"/>
        <w:ind w:firstLine="709"/>
        <w:rPr>
          <w:szCs w:val="28"/>
        </w:rPr>
      </w:pPr>
      <w:r w:rsidRPr="00416BF2">
        <w:rPr>
          <w:szCs w:val="28"/>
        </w:rPr>
        <w:t>В прогнозном периоде доминирующая роль в формировании демографической ситуации в городском округе останется за миграционными процессами, которые сохранят отрицательную динамику на протяжении 2016-2017 годов.</w:t>
      </w:r>
    </w:p>
    <w:p w:rsidR="006C02D6" w:rsidRDefault="006C02D6" w:rsidP="00C72DD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5F53CE">
        <w:rPr>
          <w:rFonts w:ascii="Times New Roman" w:hAnsi="Times New Roman" w:cs="Times New Roman"/>
          <w:sz w:val="28"/>
          <w:szCs w:val="28"/>
        </w:rPr>
        <w:t xml:space="preserve"> варианту</w:t>
      </w:r>
      <w:r w:rsidR="0063631A">
        <w:rPr>
          <w:rFonts w:ascii="Times New Roman" w:hAnsi="Times New Roman" w:cs="Times New Roman"/>
          <w:sz w:val="28"/>
          <w:szCs w:val="28"/>
        </w:rPr>
        <w:t xml:space="preserve"> 1 Прогноза </w:t>
      </w:r>
      <w:r w:rsidRPr="005F53CE">
        <w:rPr>
          <w:rFonts w:ascii="Times New Roman" w:hAnsi="Times New Roman" w:cs="Times New Roman"/>
          <w:sz w:val="28"/>
          <w:szCs w:val="28"/>
        </w:rPr>
        <w:t xml:space="preserve">будет обеспечен рост среднегодовой численности населения с </w:t>
      </w:r>
      <w:r w:rsidR="007A33CB">
        <w:rPr>
          <w:rFonts w:ascii="Times New Roman" w:eastAsia="Times New Roman" w:hAnsi="Times New Roman" w:cs="Times New Roman"/>
          <w:sz w:val="28"/>
          <w:szCs w:val="28"/>
          <w:lang w:eastAsia="ru-RU"/>
        </w:rPr>
        <w:t>1850,989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</w:t>
      </w:r>
      <w:r w:rsidRPr="005F5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2015 году до </w:t>
      </w:r>
      <w:r w:rsidRPr="005F53CE">
        <w:rPr>
          <w:rFonts w:ascii="Times New Roman" w:eastAsia="Times New Roman" w:hAnsi="Times New Roman" w:cs="Times New Roman"/>
          <w:sz w:val="28"/>
          <w:szCs w:val="28"/>
          <w:lang w:eastAsia="ru-RU"/>
        </w:rPr>
        <w:t>182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,259</w:t>
      </w:r>
      <w:r w:rsidRPr="001F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человек в 2019 году</w:t>
      </w:r>
      <w:r w:rsidR="0012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(рисунок 7.</w:t>
      </w:r>
      <w:r w:rsidR="007A33CB">
        <w:rPr>
          <w:rFonts w:ascii="Times New Roman" w:eastAsia="Times New Roman" w:hAnsi="Times New Roman" w:cs="Times New Roman"/>
          <w:sz w:val="28"/>
          <w:szCs w:val="28"/>
          <w:lang w:eastAsia="ru-RU"/>
        </w:rPr>
        <w:t>3.)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02D6" w:rsidRDefault="006C02D6" w:rsidP="00C72D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коэффициент рождаемости будет иметь тенденцию к уменьшению с 13,4</w:t>
      </w:r>
      <w:r w:rsidR="002B28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промилле в 2015 году до 13,</w:t>
      </w:r>
      <w:r w:rsidR="002B280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промилле в 2019 году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следствие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вхождения в активный </w:t>
      </w:r>
      <w:r w:rsidRPr="00280AEA">
        <w:rPr>
          <w:rFonts w:ascii="Times New Roman" w:hAnsi="Times New Roman" w:cs="Times New Roman"/>
          <w:sz w:val="28"/>
          <w:szCs w:val="28"/>
        </w:rPr>
        <w:t>репродуктивных возраст</w:t>
      </w:r>
      <w:r>
        <w:rPr>
          <w:rFonts w:ascii="Times New Roman" w:hAnsi="Times New Roman" w:cs="Times New Roman"/>
          <w:sz w:val="28"/>
          <w:szCs w:val="28"/>
        </w:rPr>
        <w:t xml:space="preserve"> малочисленного количества женщин, родившихся в 1990-е годы</w:t>
      </w:r>
      <w:r w:rsidR="00122F87">
        <w:rPr>
          <w:rFonts w:ascii="Times New Roman" w:hAnsi="Times New Roman" w:cs="Times New Roman"/>
          <w:sz w:val="28"/>
          <w:szCs w:val="28"/>
        </w:rPr>
        <w:t xml:space="preserve"> (рисунок 7.3.3):</w:t>
      </w:r>
    </w:p>
    <w:p w:rsidR="00816EA1" w:rsidRDefault="00816EA1" w:rsidP="00C72D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16B72" w:rsidRDefault="00016B72" w:rsidP="00816E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6EA1">
        <w:rPr>
          <w:rFonts w:ascii="Times New Roman" w:hAnsi="Times New Roman" w:cs="Times New Roman"/>
          <w:noProof/>
          <w:sz w:val="28"/>
          <w:szCs w:val="28"/>
          <w:shd w:val="clear" w:color="auto" w:fill="FFFFFF" w:themeFill="background1"/>
          <w:lang w:eastAsia="ru-RU"/>
        </w:rPr>
        <w:lastRenderedPageBreak/>
        <w:drawing>
          <wp:inline distT="0" distB="0" distL="0" distR="0" wp14:anchorId="0E2BF4C4" wp14:editId="4759BA46">
            <wp:extent cx="5426016" cy="2570672"/>
            <wp:effectExtent l="0" t="0" r="22860" b="2032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122F87" w:rsidRPr="00122F87" w:rsidRDefault="00122F87" w:rsidP="00122F87">
      <w:pPr>
        <w:spacing w:after="0"/>
        <w:ind w:firstLine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>Рис. 7.3.</w:t>
      </w:r>
      <w:r w:rsidRPr="00122F87"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 xml:space="preserve">Прогноз </w:t>
      </w:r>
      <w:r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 xml:space="preserve">среднегодовой численности населения (тыс. человек) и </w:t>
      </w:r>
      <w:r w:rsidRPr="00122F87"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>показателей рождаемости и смертности</w:t>
      </w:r>
      <w:r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 xml:space="preserve"> (промилле) </w:t>
      </w:r>
      <w:r w:rsidRPr="00122F87"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 xml:space="preserve">на период </w:t>
      </w:r>
      <w:r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>2017 - 2019 годов</w:t>
      </w:r>
      <w:r w:rsidRPr="00122F87"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>.</w:t>
      </w:r>
    </w:p>
    <w:p w:rsidR="00016B72" w:rsidRDefault="00016B72" w:rsidP="00C72DD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02D6" w:rsidRDefault="006C02D6" w:rsidP="00C72DD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коэффициент смертности в прогнозном периоде увеличится по сравнению с 2015 годом (10,</w:t>
      </w:r>
      <w:r w:rsidR="007A33CB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промилле), но его значения в прогнозном периоде ежегодно не превысят 11,2 промилле</w:t>
      </w:r>
      <w:r w:rsidR="00122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(рисунок 7.3.)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02D6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5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Предполагается, что сокращение </w:t>
      </w:r>
      <w:r w:rsidRPr="00ED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миграционной </w:t>
      </w:r>
      <w:r w:rsidRPr="00175ACA">
        <w:rPr>
          <w:rFonts w:ascii="Times New Roman" w:eastAsia="Times New Roman" w:hAnsi="Times New Roman" w:cs="Times New Roman"/>
          <w:sz w:val="28"/>
          <w:szCs w:val="28"/>
          <w:lang w:eastAsia="ru-RU"/>
        </w:rPr>
        <w:t>убыли населения в 201</w:t>
      </w:r>
      <w:r w:rsidRPr="00ED4B2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75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(-</w:t>
      </w:r>
      <w:r w:rsidRPr="00ED4B21">
        <w:rPr>
          <w:rFonts w:ascii="Times New Roman" w:eastAsia="Times New Roman" w:hAnsi="Times New Roman" w:cs="Times New Roman"/>
          <w:sz w:val="28"/>
          <w:szCs w:val="28"/>
          <w:lang w:eastAsia="ru-RU"/>
        </w:rPr>
        <w:t>150</w:t>
      </w:r>
      <w:r w:rsidRPr="00175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человек) сменится небольшим приростом в 2018 году (</w:t>
      </w:r>
      <w:r w:rsidRPr="00ED4B21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Pr="00175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человек), а сохранение положительной динамики приведет к увеличению численности населения в 2019 году на </w:t>
      </w:r>
      <w:r w:rsidRPr="00ED4B21">
        <w:rPr>
          <w:rFonts w:ascii="Times New Roman" w:eastAsia="Times New Roman" w:hAnsi="Times New Roman" w:cs="Times New Roman"/>
          <w:sz w:val="28"/>
          <w:szCs w:val="28"/>
          <w:lang w:eastAsia="ru-RU"/>
        </w:rPr>
        <w:t>288</w:t>
      </w:r>
      <w:r w:rsidRPr="00175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F92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(рисунок 7.4.):</w:t>
      </w:r>
    </w:p>
    <w:p w:rsidR="007A33CB" w:rsidRDefault="007A33CB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3CB" w:rsidRDefault="007A33CB" w:rsidP="007A33CB">
      <w:pPr>
        <w:widowControl w:val="0"/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CB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2F2F2" w:themeFill="background1" w:themeFillShade="F2"/>
          <w:lang w:eastAsia="ru-RU"/>
        </w:rPr>
        <w:drawing>
          <wp:inline distT="0" distB="0" distL="0" distR="0" wp14:anchorId="584BFCAD" wp14:editId="76294C3D">
            <wp:extent cx="5840083" cy="2760453"/>
            <wp:effectExtent l="0" t="0" r="27940" b="2095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F9290B" w:rsidRPr="00122F87" w:rsidRDefault="00F9290B" w:rsidP="00F9290B">
      <w:pPr>
        <w:ind w:firstLine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 xml:space="preserve">Рис. 7.4. </w:t>
      </w:r>
      <w:r w:rsidRPr="00122F87"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 xml:space="preserve">Прогноз </w:t>
      </w:r>
      <w:r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 xml:space="preserve"> сальдо миграции и сальдо естественного движения населения </w:t>
      </w:r>
      <w:proofErr w:type="gramStart"/>
      <w:r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>Петропавловск-Камчатского</w:t>
      </w:r>
      <w:proofErr w:type="gramEnd"/>
      <w:r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 xml:space="preserve"> городского округа </w:t>
      </w:r>
      <w:r w:rsidRPr="00122F87"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 xml:space="preserve">на период </w:t>
      </w:r>
      <w:r>
        <w:rPr>
          <w:rFonts w:ascii="Times New Roman" w:eastAsiaTheme="minorEastAsia" w:hAnsi="Times New Roman"/>
          <w:i/>
          <w:kern w:val="24"/>
          <w:sz w:val="24"/>
          <w:szCs w:val="24"/>
          <w:lang w:eastAsia="ru-RU"/>
        </w:rPr>
        <w:t>2017 - 2019 годов</w:t>
      </w:r>
    </w:p>
    <w:p w:rsidR="006C02D6" w:rsidRPr="00D419C6" w:rsidRDefault="0063631A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C02D6" w:rsidRPr="0090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варианту</w:t>
      </w:r>
      <w:r w:rsidR="006C02D6"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</w:t>
      </w:r>
      <w:r w:rsidR="006C02D6"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рогноза численность населения </w:t>
      </w:r>
      <w:r w:rsidR="006C02D6"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6C02D6"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концу 2019 году увеличится на </w:t>
      </w:r>
      <w:r w:rsidR="006C02D6"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>1,639</w:t>
      </w:r>
      <w:r w:rsidR="006C02D6"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 относительно 2016 года, в том числе за счет естественного прироста в 1,</w:t>
      </w:r>
      <w:r w:rsidR="006C02D6"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242 </w:t>
      </w:r>
      <w:r w:rsidR="006C02D6"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человек и миграционного притока в 0,6</w:t>
      </w:r>
      <w:r w:rsidR="006C02D6"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C02D6"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6C02D6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коэффицие</w:t>
      </w:r>
      <w:r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>нт рождаемости увеличится с 13,3</w:t>
      </w:r>
      <w:r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промилле в 2016 году до 13,</w:t>
      </w:r>
      <w:r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промилле в 2019 году. Общий коэффициент смертности </w:t>
      </w:r>
      <w:r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увеличится</w:t>
      </w:r>
      <w:r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11,</w:t>
      </w:r>
      <w:r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промилле в 2016 году до 11,</w:t>
      </w:r>
      <w:r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промилле в 2019 году</w:t>
      </w:r>
      <w:r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наметится тенденция незначительного миграционного притока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87 человек), которая </w:t>
      </w:r>
      <w:r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продолжится в 2019 году (</w:t>
      </w:r>
      <w:r w:rsidRPr="00D301FB">
        <w:rPr>
          <w:rFonts w:ascii="Times New Roman" w:eastAsia="Times New Roman" w:hAnsi="Times New Roman" w:cs="Times New Roman"/>
          <w:sz w:val="28"/>
          <w:szCs w:val="28"/>
          <w:lang w:eastAsia="ru-RU"/>
        </w:rPr>
        <w:t>389</w:t>
      </w:r>
      <w:r w:rsidRPr="00D41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человек).</w:t>
      </w:r>
    </w:p>
    <w:p w:rsidR="006C02D6" w:rsidRDefault="00F55ED7" w:rsidP="00622CB2">
      <w:pPr>
        <w:pStyle w:val="1"/>
        <w:spacing w:before="120" w:after="120"/>
        <w:rPr>
          <w:lang w:eastAsia="ru-RU"/>
        </w:rPr>
      </w:pPr>
      <w:bookmarkStart w:id="37" w:name="_Toc465927692"/>
      <w:r>
        <w:rPr>
          <w:lang w:eastAsia="ru-RU"/>
        </w:rPr>
        <w:lastRenderedPageBreak/>
        <w:t>8</w:t>
      </w:r>
      <w:r w:rsidR="006C02D6" w:rsidRPr="005B6729">
        <w:rPr>
          <w:lang w:eastAsia="ru-RU"/>
        </w:rPr>
        <w:t>. Рынок труда и занятость населения</w:t>
      </w:r>
      <w:bookmarkEnd w:id="37"/>
    </w:p>
    <w:p w:rsidR="00087DBD" w:rsidRDefault="00087DBD" w:rsidP="00087DB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2015 году </w:t>
      </w:r>
      <w:r w:rsidRPr="0055099F">
        <w:rPr>
          <w:rFonts w:ascii="Times New Roman" w:hAnsi="Times New Roman"/>
          <w:sz w:val="28"/>
          <w:szCs w:val="28"/>
        </w:rPr>
        <w:t>численность работ</w:t>
      </w:r>
      <w:r>
        <w:rPr>
          <w:rFonts w:ascii="Times New Roman" w:hAnsi="Times New Roman"/>
          <w:sz w:val="28"/>
          <w:szCs w:val="28"/>
        </w:rPr>
        <w:t xml:space="preserve">ающих </w:t>
      </w:r>
      <w:r w:rsidRPr="0055099F">
        <w:rPr>
          <w:rFonts w:ascii="Times New Roman" w:hAnsi="Times New Roman"/>
          <w:sz w:val="28"/>
          <w:szCs w:val="28"/>
        </w:rPr>
        <w:t>в крупны</w:t>
      </w:r>
      <w:r>
        <w:rPr>
          <w:rFonts w:ascii="Times New Roman" w:hAnsi="Times New Roman"/>
          <w:sz w:val="28"/>
          <w:szCs w:val="28"/>
        </w:rPr>
        <w:t>х</w:t>
      </w:r>
      <w:r w:rsidRPr="0055099F">
        <w:rPr>
          <w:rFonts w:ascii="Times New Roman" w:hAnsi="Times New Roman"/>
          <w:sz w:val="28"/>
          <w:szCs w:val="28"/>
        </w:rPr>
        <w:t xml:space="preserve"> и средни</w:t>
      </w:r>
      <w:r>
        <w:rPr>
          <w:rFonts w:ascii="Times New Roman" w:hAnsi="Times New Roman"/>
          <w:sz w:val="28"/>
          <w:szCs w:val="28"/>
        </w:rPr>
        <w:t>х</w:t>
      </w:r>
      <w:r w:rsidRPr="0055099F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 xml:space="preserve">й городского округа снизилась по отношению к 2014 году на </w:t>
      </w:r>
      <w:r w:rsidRPr="0055099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,9 % (1027 </w:t>
      </w:r>
      <w:r w:rsidRPr="0055099F">
        <w:rPr>
          <w:rFonts w:ascii="Times New Roman" w:hAnsi="Times New Roman"/>
          <w:sz w:val="28"/>
          <w:szCs w:val="28"/>
        </w:rPr>
        <w:t>человек</w:t>
      </w:r>
      <w:r>
        <w:rPr>
          <w:rFonts w:ascii="Times New Roman" w:hAnsi="Times New Roman"/>
          <w:sz w:val="28"/>
          <w:szCs w:val="28"/>
        </w:rPr>
        <w:t xml:space="preserve">) и </w:t>
      </w:r>
      <w:r w:rsidRPr="0055099F">
        <w:rPr>
          <w:rFonts w:ascii="Times New Roman" w:hAnsi="Times New Roman"/>
          <w:sz w:val="28"/>
          <w:szCs w:val="28"/>
        </w:rPr>
        <w:t xml:space="preserve">составила </w:t>
      </w:r>
      <w:r>
        <w:rPr>
          <w:rFonts w:ascii="Times New Roman" w:hAnsi="Times New Roman"/>
          <w:sz w:val="28"/>
          <w:szCs w:val="28"/>
        </w:rPr>
        <w:t>53,984 тыс. человек.</w:t>
      </w:r>
    </w:p>
    <w:p w:rsidR="00087DBD" w:rsidRPr="005D200A" w:rsidRDefault="00087DBD" w:rsidP="00087DB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2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</w:t>
      </w:r>
      <w:r w:rsidRPr="005D200A">
        <w:rPr>
          <w:rFonts w:ascii="Times New Roman" w:hAnsi="Times New Roman"/>
          <w:sz w:val="28"/>
          <w:szCs w:val="28"/>
        </w:rPr>
        <w:t xml:space="preserve">численности работающих отмечено в крупных и средних организациях </w:t>
      </w:r>
      <w:r w:rsidRPr="005D2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(на 20,8 % или на 231 человека), финансового сектора на 8,2 % или на 187 человек), транспорта и связи (на 8,5 % или на 271 человека), промышленности (на 3,2 % или на 384 человек), </w:t>
      </w:r>
      <w:r w:rsidRPr="005D200A">
        <w:rPr>
          <w:rFonts w:ascii="Times New Roman" w:hAnsi="Times New Roman"/>
          <w:sz w:val="28"/>
          <w:szCs w:val="28"/>
        </w:rPr>
        <w:t>сферы государственного управления и обеспечения военной безопасности;</w:t>
      </w:r>
      <w:proofErr w:type="gramEnd"/>
      <w:r w:rsidRPr="005D200A">
        <w:rPr>
          <w:rFonts w:ascii="Times New Roman" w:hAnsi="Times New Roman"/>
          <w:sz w:val="28"/>
          <w:szCs w:val="28"/>
        </w:rPr>
        <w:t xml:space="preserve"> социальное страхование (на 1,1 %</w:t>
      </w:r>
      <w:r w:rsidRPr="005D2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149 человек</w:t>
      </w:r>
      <w:r w:rsidRPr="005D200A">
        <w:rPr>
          <w:rFonts w:ascii="Times New Roman" w:hAnsi="Times New Roman"/>
          <w:sz w:val="28"/>
          <w:szCs w:val="28"/>
        </w:rPr>
        <w:t>).</w:t>
      </w:r>
    </w:p>
    <w:p w:rsidR="00087DBD" w:rsidRDefault="00087DBD" w:rsidP="00087DB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01.01.2016 ч</w:t>
      </w:r>
      <w:r w:rsidRPr="00A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исленность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безработных </w:t>
      </w:r>
      <w:r w:rsidRPr="00A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Центре занятости населения города Петропавловска-Камчатского (далее - Центр занятости населения) увеличилась</w:t>
      </w:r>
      <w:r w:rsidRPr="00A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22,3 </w:t>
      </w:r>
      <w:r w:rsidRPr="00531288">
        <w:rPr>
          <w:rFonts w:ascii="Times New Roman" w:eastAsia="Times New Roman" w:hAnsi="Times New Roman" w:cs="Times New Roman"/>
          <w:sz w:val="28"/>
          <w:szCs w:val="28"/>
          <w:lang w:eastAsia="ru-RU"/>
        </w:rPr>
        <w:t>% и составила 1040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645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численности гра</w:t>
      </w:r>
      <w:r w:rsidRPr="00A071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ждан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Pr="00A071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признанных безработными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</w:t>
      </w:r>
      <w:r w:rsidRPr="005645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 сравнению с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аналогичным периодом </w:t>
      </w:r>
      <w:r w:rsidRPr="005645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предыдущ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его года,</w:t>
      </w:r>
      <w:r w:rsidRPr="005645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071C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увеличилась численность женщин на 19,9 %, численность мужчин - на 3,5 %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численность безработных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предпенсионного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возраста - на 35,5 %, </w:t>
      </w:r>
      <w:r w:rsidRPr="0056458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возрасте от 16 до 29 лет - </w:t>
      </w:r>
      <w:r w:rsidRPr="0056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2,6 %.</w:t>
      </w:r>
      <w:proofErr w:type="gramEnd"/>
    </w:p>
    <w:p w:rsidR="00087DBD" w:rsidRDefault="00087DBD" w:rsidP="00087DB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32">
        <w:rPr>
          <w:rFonts w:ascii="Times New Roman" w:hAnsi="Times New Roman" w:cs="Times New Roman"/>
          <w:sz w:val="28"/>
          <w:szCs w:val="28"/>
        </w:rPr>
        <w:t xml:space="preserve">Уровень общей безработицы в 2015 году оценивается на уровне 7,86 % от экономически активного населения, </w:t>
      </w:r>
      <w:r w:rsidRPr="0022773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</w:t>
      </w:r>
      <w:r w:rsidRPr="0056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458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безработицы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на конец года 0,88</w:t>
      </w:r>
      <w:r w:rsidRPr="0056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увеличился по отношению к началу 2015 года на</w:t>
      </w:r>
      <w:r w:rsidRPr="0056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56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64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ов.</w:t>
      </w:r>
    </w:p>
    <w:p w:rsidR="00087DBD" w:rsidRDefault="00087DBD" w:rsidP="00087DB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январь-июнь 2016 года с</w:t>
      </w:r>
      <w:r w:rsidRPr="005645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реднесписочная численность работников крупных и средних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составила 52,109 тысяч человек, темп роста к соответствующему периоду 2015 года составил                 100,8 %.</w:t>
      </w:r>
    </w:p>
    <w:p w:rsidR="00087DBD" w:rsidRPr="00CF2E18" w:rsidRDefault="00087DBD" w:rsidP="00087DBD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июня 2016 года уровень регистрируемой безработицы составил 0,85% от экономически активного населения и снизился на 0,03 процентных пунктов по сравнению с началом 2016 года. </w:t>
      </w:r>
    </w:p>
    <w:p w:rsidR="00087DBD" w:rsidRPr="00CF2E18" w:rsidRDefault="00087DBD" w:rsidP="00087DBD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F2E1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безработных граждан, зарегистрированных в службе занятости, по сравнению с аналогичным периодом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увелич</w:t>
      </w:r>
      <w:r w:rsidRPr="00A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илась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A05085">
        <w:rPr>
          <w:rFonts w:ascii="Times New Roman" w:eastAsia="Times New Roman" w:hAnsi="Times New Roman" w:cs="Times New Roman"/>
          <w:sz w:val="28"/>
          <w:szCs w:val="28"/>
          <w:lang w:eastAsia="ru-RU"/>
        </w:rPr>
        <w:t>,0% и на 1 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A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2016 года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978</w:t>
      </w:r>
      <w:r w:rsidRPr="00A0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3C7E">
        <w:rPr>
          <w:rFonts w:ascii="Times New Roman" w:hAnsi="Times New Roman" w:cs="Times New Roman"/>
          <w:sz w:val="28"/>
          <w:szCs w:val="28"/>
        </w:rPr>
        <w:t xml:space="preserve">Безработица в </w:t>
      </w:r>
      <w:r>
        <w:rPr>
          <w:rFonts w:ascii="Times New Roman" w:hAnsi="Times New Roman" w:cs="Times New Roman"/>
          <w:sz w:val="28"/>
          <w:szCs w:val="28"/>
        </w:rPr>
        <w:t xml:space="preserve">городском округе </w:t>
      </w:r>
      <w:r w:rsidRPr="002C3C7E">
        <w:rPr>
          <w:rFonts w:ascii="Times New Roman" w:hAnsi="Times New Roman" w:cs="Times New Roman"/>
          <w:sz w:val="28"/>
          <w:szCs w:val="28"/>
        </w:rPr>
        <w:t xml:space="preserve">носит сезонный характер. В период сезонных работ </w:t>
      </w:r>
      <w:r w:rsidRPr="00CF2E18">
        <w:rPr>
          <w:rFonts w:ascii="Times New Roman" w:hAnsi="Times New Roman" w:cs="Times New Roman"/>
          <w:sz w:val="28"/>
          <w:szCs w:val="28"/>
        </w:rPr>
        <w:t xml:space="preserve">(апрель-сентябрь) наблюдается снижение уровня регистрируемой безработицы, в первом и четвертом кварталах года - стабильный рост. </w:t>
      </w:r>
    </w:p>
    <w:p w:rsidR="00087DBD" w:rsidRDefault="00087DBD" w:rsidP="00087DBD">
      <w:pPr>
        <w:widowControl w:val="0"/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457AB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текущем году </w:t>
      </w:r>
      <w:r>
        <w:rPr>
          <w:rFonts w:ascii="Times New Roman" w:hAnsi="Times New Roman"/>
          <w:sz w:val="28"/>
          <w:szCs w:val="28"/>
        </w:rPr>
        <w:t xml:space="preserve">в Центр занятости населения, за предоставлением государственной услуги по </w:t>
      </w:r>
      <w:r w:rsidRPr="00E72A6D">
        <w:rPr>
          <w:rFonts w:ascii="Times New Roman" w:hAnsi="Times New Roman" w:cs="Times New Roman"/>
          <w:iCs/>
          <w:sz w:val="28"/>
          <w:szCs w:val="28"/>
        </w:rPr>
        <w:t>содействи</w:t>
      </w:r>
      <w:r>
        <w:rPr>
          <w:rFonts w:ascii="Times New Roman" w:hAnsi="Times New Roman" w:cs="Times New Roman"/>
          <w:iCs/>
          <w:sz w:val="28"/>
          <w:szCs w:val="28"/>
        </w:rPr>
        <w:t xml:space="preserve">ю в поиске работы, </w:t>
      </w:r>
      <w:r>
        <w:rPr>
          <w:rFonts w:ascii="Times New Roman" w:hAnsi="Times New Roman"/>
          <w:sz w:val="28"/>
          <w:szCs w:val="28"/>
        </w:rPr>
        <w:t>обратилось на              31,6 % граждан больше, чем в аналогичном периоде 2015 года, трудоустроено 1 415 человек, не занятых трудовой деятельностью, на 321 человека (29,3 %) больше, чем за 6 месяцев 2015 года.</w:t>
      </w:r>
      <w:proofErr w:type="gramEnd"/>
    </w:p>
    <w:p w:rsidR="00087DBD" w:rsidRPr="00D84A89" w:rsidRDefault="00087DBD" w:rsidP="00087D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4A89">
        <w:rPr>
          <w:rFonts w:ascii="Times New Roman" w:hAnsi="Times New Roman" w:cs="Times New Roman"/>
          <w:iCs/>
          <w:sz w:val="28"/>
          <w:szCs w:val="28"/>
        </w:rPr>
        <w:t xml:space="preserve">По состоянию на 30.06.2016 </w:t>
      </w:r>
      <w:r w:rsidRPr="00D84A89">
        <w:rPr>
          <w:rFonts w:ascii="Times New Roman" w:hAnsi="Times New Roman" w:cs="Times New Roman"/>
          <w:sz w:val="28"/>
          <w:szCs w:val="28"/>
        </w:rPr>
        <w:t xml:space="preserve">организациями городского округа заявлена в Центр занятости населения потребность в работниках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84A89">
        <w:rPr>
          <w:rFonts w:ascii="Times New Roman" w:hAnsi="Times New Roman" w:cs="Times New Roman"/>
          <w:sz w:val="28"/>
          <w:szCs w:val="28"/>
        </w:rPr>
        <w:t xml:space="preserve"> 2 813</w:t>
      </w:r>
      <w:r w:rsidRPr="00D84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вакансий</w:t>
      </w:r>
      <w:r w:rsidRPr="00D84A89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D84A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15,3 % больше, чем на</w:t>
      </w:r>
      <w:r w:rsidRPr="00D84A89">
        <w:rPr>
          <w:rFonts w:ascii="Times New Roman" w:hAnsi="Times New Roman" w:cs="Times New Roman"/>
          <w:sz w:val="28"/>
          <w:szCs w:val="28"/>
        </w:rPr>
        <w:t xml:space="preserve"> соотве</w:t>
      </w:r>
      <w:r>
        <w:rPr>
          <w:rFonts w:ascii="Times New Roman" w:hAnsi="Times New Roman" w:cs="Times New Roman"/>
          <w:sz w:val="28"/>
          <w:szCs w:val="28"/>
        </w:rPr>
        <w:t>тствующую дату предыдущего года, из них</w:t>
      </w:r>
      <w:r w:rsidRPr="00D84A89">
        <w:rPr>
          <w:rFonts w:ascii="Times New Roman" w:hAnsi="Times New Roman" w:cs="Times New Roman"/>
          <w:sz w:val="28"/>
          <w:szCs w:val="28"/>
        </w:rPr>
        <w:t xml:space="preserve"> более </w:t>
      </w:r>
      <w:r w:rsidRPr="00FB3936">
        <w:rPr>
          <w:rFonts w:ascii="Times New Roman" w:hAnsi="Times New Roman" w:cs="Times New Roman"/>
          <w:sz w:val="28"/>
          <w:szCs w:val="28"/>
        </w:rPr>
        <w:t>58,9 % вакансий - для замещения рабочих профессий.</w:t>
      </w:r>
      <w:r w:rsidRPr="00D84A89">
        <w:rPr>
          <w:rFonts w:ascii="Times New Roman" w:hAnsi="Times New Roman" w:cs="Times New Roman"/>
          <w:sz w:val="28"/>
          <w:szCs w:val="28"/>
        </w:rPr>
        <w:t xml:space="preserve"> </w:t>
      </w:r>
      <w:r w:rsidRPr="00D84A89">
        <w:rPr>
          <w:rFonts w:ascii="Times New Roman" w:hAnsi="Times New Roman" w:cs="Times New Roman"/>
          <w:bCs/>
          <w:sz w:val="28"/>
          <w:szCs w:val="28"/>
        </w:rPr>
        <w:t xml:space="preserve">Коэффициент напряженности на рынке труда </w:t>
      </w:r>
      <w:r w:rsidRPr="00D84A89">
        <w:rPr>
          <w:rFonts w:ascii="Times New Roman" w:hAnsi="Times New Roman" w:cs="Times New Roman"/>
          <w:sz w:val="28"/>
          <w:szCs w:val="28"/>
        </w:rPr>
        <w:t>- 0,5 человека на 1 вакансию.</w:t>
      </w:r>
    </w:p>
    <w:p w:rsidR="00087DBD" w:rsidRPr="00B646E9" w:rsidRDefault="00087DBD" w:rsidP="00087DB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417AA9">
        <w:rPr>
          <w:rFonts w:ascii="Times New Roman" w:hAnsi="Times New Roman" w:cs="Times New Roman"/>
          <w:sz w:val="28"/>
          <w:szCs w:val="28"/>
        </w:rPr>
        <w:t xml:space="preserve">В соответствии с динамикой </w:t>
      </w:r>
      <w:r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Pr="00417AA9">
        <w:rPr>
          <w:rFonts w:ascii="Times New Roman" w:hAnsi="Times New Roman" w:cs="Times New Roman"/>
          <w:sz w:val="28"/>
          <w:szCs w:val="28"/>
        </w:rPr>
        <w:t>рынка труда</w:t>
      </w:r>
      <w:r>
        <w:rPr>
          <w:rFonts w:ascii="Times New Roman" w:hAnsi="Times New Roman" w:cs="Times New Roman"/>
          <w:sz w:val="28"/>
          <w:szCs w:val="28"/>
        </w:rPr>
        <w:t xml:space="preserve"> в течение                      6 месяцев 2016 года, численность работающих в организациях городского округа в 2016 году оценивается на уровне 73,867 тыс. человек (99,92 % к 2015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году). Снижение численности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обусловлено проводимой оптимизацией численности крупными и средними организациями </w:t>
      </w:r>
      <w:r w:rsidRPr="006D6469">
        <w:rPr>
          <w:rFonts w:ascii="Times New Roman" w:hAnsi="Times New Roman" w:cs="Times New Roman"/>
          <w:sz w:val="28"/>
          <w:szCs w:val="28"/>
        </w:rPr>
        <w:t xml:space="preserve">и </w:t>
      </w:r>
      <w:r w:rsidRPr="00B646E9">
        <w:rPr>
          <w:rFonts w:ascii="Times New Roman" w:hAnsi="Times New Roman" w:cs="Times New Roman"/>
          <w:sz w:val="28"/>
          <w:szCs w:val="28"/>
        </w:rPr>
        <w:t>повышением производительности труда.</w:t>
      </w:r>
    </w:p>
    <w:p w:rsidR="00087DBD" w:rsidRPr="00B646E9" w:rsidRDefault="00087DBD" w:rsidP="00087DBD">
      <w:pPr>
        <w:pStyle w:val="a9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646E9">
        <w:rPr>
          <w:rFonts w:ascii="Times New Roman" w:hAnsi="Times New Roman" w:cs="Times New Roman"/>
          <w:sz w:val="28"/>
          <w:szCs w:val="28"/>
        </w:rPr>
        <w:t>По оценке, в 2016 году численность официально зарегистрированных безработных не превысит 1 060 тыс. человек, уровень регистрируемой безработицы составит не более 0,93 %. Численность безработных (по методологии МОТ) оценивается в 7,59 тыс. человек, общий уровень безработицы - 6,66 % от экономически активного населения.</w:t>
      </w:r>
    </w:p>
    <w:p w:rsidR="00087DBD" w:rsidRDefault="00087DBD" w:rsidP="00087DBD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B646E9">
        <w:rPr>
          <w:rFonts w:ascii="Times New Roman" w:hAnsi="Times New Roman" w:cs="Times New Roman"/>
          <w:sz w:val="28"/>
          <w:szCs w:val="28"/>
        </w:rPr>
        <w:t>В прогнозируемом периоде предполагается незначительные колебания численности экономически активного населения с 114,0 тыс. человек в 2016 году до 113,86 тыс. человек в 2019 году. На этом фоне прогнозируется незначительное сокращение численности занятого населения до 105,25 тыс. человек к концу прогнозного периода.</w:t>
      </w:r>
    </w:p>
    <w:p w:rsidR="00087DBD" w:rsidRDefault="00087DBD" w:rsidP="00087DBD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варианту 1 Прогноза среднесписочная численность работающих в организациях городского округа в 2019 году предположительно составит 74,066 тыс. человек (100,19 % к 2015 году). Среднегодовой темп роста прогнозируется на уровне 100,04 %, 100,09 %, 100,04 % соответственно по годам к уровню предшествующего года.</w:t>
      </w:r>
    </w:p>
    <w:p w:rsidR="00087DBD" w:rsidRPr="00B646E9" w:rsidRDefault="00087DBD" w:rsidP="00087DBD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варианту 2 Прогноза, учитывая реализацию проектов ТОСЭР «Камчатка» и проекта Свободный порт, среднесписочная численность работающих в организациях городского округа в 2019 году прогнозируется на уровне 74,830 тыс. человек (101,2 % к 2015 году).</w:t>
      </w:r>
    </w:p>
    <w:p w:rsidR="00087DBD" w:rsidRPr="00FB3936" w:rsidRDefault="00087DBD" w:rsidP="00087DB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FB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прогнозируемом периоде </w:t>
      </w:r>
      <w:r w:rsidRPr="00FB3936">
        <w:rPr>
          <w:rFonts w:ascii="Times New Roman" w:hAnsi="Times New Roman" w:cs="Times New Roman"/>
          <w:sz w:val="28"/>
          <w:szCs w:val="28"/>
        </w:rPr>
        <w:t>в результате реализуемых на территории городского округа мероприятий государственной программы Камчатского края «Содействие занятости населения Камчатского края на 2014-2018 годы», направленных на сохранение стабильности на рынке труда,</w:t>
      </w:r>
      <w:r w:rsidRPr="00FB3936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мер, реализуемых администраций городского округа в рамках своих полномочий, и направленных на стимулирование </w:t>
      </w:r>
      <w:proofErr w:type="spellStart"/>
      <w:r w:rsidRPr="00FB3936">
        <w:rPr>
          <w:rFonts w:ascii="Times New Roman" w:eastAsia="Times New Roman" w:hAnsi="Times New Roman"/>
          <w:sz w:val="28"/>
          <w:szCs w:val="28"/>
          <w:lang w:eastAsia="ru-RU"/>
        </w:rPr>
        <w:t>самозанятости</w:t>
      </w:r>
      <w:proofErr w:type="spellEnd"/>
      <w:r w:rsidRPr="00FB3936">
        <w:rPr>
          <w:rFonts w:ascii="Times New Roman" w:eastAsia="Times New Roman" w:hAnsi="Times New Roman"/>
          <w:sz w:val="28"/>
          <w:szCs w:val="28"/>
          <w:lang w:eastAsia="ru-RU"/>
        </w:rPr>
        <w:t xml:space="preserve"> безработного населения городского округа, организацию поддержки субъектов малого и среднего предпринимательства по созданию новых</w:t>
      </w:r>
      <w:proofErr w:type="gramEnd"/>
      <w:r w:rsidRPr="00FB3936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мест</w:t>
      </w:r>
      <w:r w:rsidRPr="00FB3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B3936">
        <w:rPr>
          <w:rFonts w:ascii="Times New Roman" w:hAnsi="Times New Roman" w:cs="Times New Roman"/>
          <w:sz w:val="28"/>
          <w:szCs w:val="28"/>
        </w:rPr>
        <w:t xml:space="preserve">сокращение «теневой занятости», </w:t>
      </w:r>
      <w:r w:rsidRPr="00FB39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r w:rsidRPr="00FB3936">
        <w:rPr>
          <w:rFonts w:ascii="Times New Roman" w:eastAsia="Times New Roman" w:hAnsi="Times New Roman"/>
          <w:sz w:val="28"/>
          <w:szCs w:val="28"/>
          <w:lang w:eastAsia="ru-RU"/>
        </w:rPr>
        <w:t xml:space="preserve"> временного трудоустройства несовершеннолетних граждан в возрасте от 14 до 18 лет во время летних каникул и вторичной занятости в свободное от учебы время, оказание содействия в организации общественных и исправительных работ в городском округе </w:t>
      </w:r>
      <w:r w:rsidRPr="00FB3936">
        <w:rPr>
          <w:rFonts w:ascii="Times New Roman" w:hAnsi="Times New Roman" w:cs="Times New Roman"/>
          <w:sz w:val="28"/>
          <w:szCs w:val="28"/>
        </w:rPr>
        <w:t>прогнозируется:</w:t>
      </w:r>
    </w:p>
    <w:p w:rsidR="00087DBD" w:rsidRPr="00FB3936" w:rsidRDefault="00087DBD" w:rsidP="00087D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3936">
        <w:rPr>
          <w:rFonts w:ascii="Times New Roman" w:hAnsi="Times New Roman" w:cs="Times New Roman"/>
          <w:sz w:val="28"/>
          <w:szCs w:val="28"/>
        </w:rPr>
        <w:t xml:space="preserve">- по варианту 1 Прогноза снижение численности безработных (по методологии МОТ) с 7,54 тыс. человек в 2017 году до 7,19 тыс. человек в 2019 году и, соответственно, уровня общей безработицы - с 6,58 % </w:t>
      </w:r>
      <w:proofErr w:type="gramStart"/>
      <w:r w:rsidRPr="00FB393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B3936">
        <w:rPr>
          <w:rFonts w:ascii="Times New Roman" w:hAnsi="Times New Roman" w:cs="Times New Roman"/>
          <w:sz w:val="28"/>
          <w:szCs w:val="28"/>
        </w:rPr>
        <w:t xml:space="preserve"> 6,1 %. </w:t>
      </w:r>
    </w:p>
    <w:p w:rsidR="00087DBD" w:rsidRPr="00AA741A" w:rsidRDefault="00087DBD" w:rsidP="00087DBD">
      <w:pPr>
        <w:pStyle w:val="a9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FB3936">
        <w:rPr>
          <w:rFonts w:ascii="Times New Roman" w:hAnsi="Times New Roman" w:cs="Times New Roman"/>
          <w:sz w:val="28"/>
          <w:szCs w:val="28"/>
        </w:rPr>
        <w:t>Численность безработных, зарегистрированных</w:t>
      </w:r>
      <w:r w:rsidRPr="00AA741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Центре</w:t>
      </w:r>
      <w:r w:rsidRPr="00AA741A">
        <w:rPr>
          <w:rFonts w:ascii="Times New Roman" w:hAnsi="Times New Roman" w:cs="Times New Roman"/>
          <w:sz w:val="28"/>
          <w:szCs w:val="28"/>
        </w:rPr>
        <w:t xml:space="preserve"> занятости населения, сократится с 1,060 в 2017 году до 1,020 тыс. человек</w:t>
      </w:r>
      <w:r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Pr="00AA741A">
        <w:rPr>
          <w:rFonts w:ascii="Times New Roman" w:hAnsi="Times New Roman" w:cs="Times New Roman"/>
          <w:sz w:val="28"/>
          <w:szCs w:val="28"/>
        </w:rPr>
        <w:t xml:space="preserve">, а уровень регистрируемой безработицы в 2017-2019 годах – с 0,92% до 0,89%. </w:t>
      </w:r>
      <w:proofErr w:type="gramEnd"/>
    </w:p>
    <w:p w:rsidR="00087DBD" w:rsidRPr="00B84D4B" w:rsidRDefault="00087DBD" w:rsidP="00087DB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 </w:t>
      </w:r>
      <w:r>
        <w:rPr>
          <w:rFonts w:ascii="Times New Roman" w:hAnsi="Times New Roman" w:cs="Times New Roman"/>
          <w:sz w:val="28"/>
          <w:szCs w:val="28"/>
        </w:rPr>
        <w:t xml:space="preserve">варианту 2 Прогноза </w:t>
      </w:r>
      <w:r w:rsidRPr="002B377E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B84D4B">
        <w:rPr>
          <w:rFonts w:ascii="Times New Roman" w:hAnsi="Times New Roman" w:cs="Times New Roman"/>
          <w:sz w:val="28"/>
          <w:szCs w:val="28"/>
        </w:rPr>
        <w:t xml:space="preserve">численности безработных (по методологии МОТ) с </w:t>
      </w:r>
      <w:r>
        <w:rPr>
          <w:rFonts w:ascii="Times New Roman" w:hAnsi="Times New Roman" w:cs="Times New Roman"/>
          <w:sz w:val="28"/>
          <w:szCs w:val="28"/>
        </w:rPr>
        <w:t>7,42</w:t>
      </w:r>
      <w:r w:rsidRPr="00B84D4B">
        <w:rPr>
          <w:rFonts w:ascii="Times New Roman" w:hAnsi="Times New Roman" w:cs="Times New Roman"/>
          <w:sz w:val="28"/>
          <w:szCs w:val="28"/>
        </w:rPr>
        <w:t xml:space="preserve"> тыс. человек в 2017 году до </w:t>
      </w:r>
      <w:r>
        <w:rPr>
          <w:rFonts w:ascii="Times New Roman" w:hAnsi="Times New Roman" w:cs="Times New Roman"/>
          <w:sz w:val="28"/>
          <w:szCs w:val="28"/>
        </w:rPr>
        <w:t xml:space="preserve">6,95 тыс. человек в 2019 году и </w:t>
      </w:r>
      <w:r w:rsidRPr="00B84D4B">
        <w:rPr>
          <w:rFonts w:ascii="Times New Roman" w:hAnsi="Times New Roman" w:cs="Times New Roman"/>
          <w:sz w:val="28"/>
          <w:szCs w:val="28"/>
        </w:rPr>
        <w:t xml:space="preserve">уровня общей безработицы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84D4B">
        <w:rPr>
          <w:rFonts w:ascii="Times New Roman" w:hAnsi="Times New Roman" w:cs="Times New Roman"/>
          <w:sz w:val="28"/>
          <w:szCs w:val="28"/>
        </w:rPr>
        <w:t xml:space="preserve"> с 6,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B84D4B">
        <w:rPr>
          <w:rFonts w:ascii="Times New Roman" w:hAnsi="Times New Roman" w:cs="Times New Roman"/>
          <w:sz w:val="28"/>
          <w:szCs w:val="28"/>
        </w:rPr>
        <w:t xml:space="preserve"> % </w:t>
      </w:r>
      <w:proofErr w:type="gramStart"/>
      <w:r w:rsidRPr="00B84D4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B84D4B">
        <w:rPr>
          <w:rFonts w:ascii="Times New Roman" w:hAnsi="Times New Roman" w:cs="Times New Roman"/>
          <w:sz w:val="28"/>
          <w:szCs w:val="28"/>
        </w:rPr>
        <w:t xml:space="preserve"> 6,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B84D4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087DBD" w:rsidRDefault="00087DBD" w:rsidP="00087DB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741A">
        <w:rPr>
          <w:rFonts w:ascii="Times New Roman" w:hAnsi="Times New Roman" w:cs="Times New Roman"/>
          <w:sz w:val="28"/>
          <w:szCs w:val="28"/>
        </w:rPr>
        <w:t xml:space="preserve">Численность безработных, зарегистрированных в </w:t>
      </w:r>
      <w:r>
        <w:rPr>
          <w:rFonts w:ascii="Times New Roman" w:hAnsi="Times New Roman" w:cs="Times New Roman"/>
          <w:sz w:val="28"/>
          <w:szCs w:val="28"/>
        </w:rPr>
        <w:t>Центре</w:t>
      </w:r>
      <w:r w:rsidRPr="00AA741A">
        <w:rPr>
          <w:rFonts w:ascii="Times New Roman" w:hAnsi="Times New Roman" w:cs="Times New Roman"/>
          <w:sz w:val="28"/>
          <w:szCs w:val="28"/>
        </w:rPr>
        <w:t xml:space="preserve"> занятости населения, сократится с 1,0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AA741A">
        <w:rPr>
          <w:rFonts w:ascii="Times New Roman" w:hAnsi="Times New Roman" w:cs="Times New Roman"/>
          <w:sz w:val="28"/>
          <w:szCs w:val="28"/>
        </w:rPr>
        <w:t xml:space="preserve"> в 2017 году до 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AA741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A741A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Pr="00AA741A">
        <w:rPr>
          <w:rFonts w:ascii="Times New Roman" w:hAnsi="Times New Roman" w:cs="Times New Roman"/>
          <w:sz w:val="28"/>
          <w:szCs w:val="28"/>
        </w:rPr>
        <w:t>, а уровень регистрируемой безработицы в 2017-2019 годах – с 0,9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A741A">
        <w:rPr>
          <w:rFonts w:ascii="Times New Roman" w:hAnsi="Times New Roman" w:cs="Times New Roman"/>
          <w:sz w:val="28"/>
          <w:szCs w:val="28"/>
        </w:rPr>
        <w:t>% до 0,8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A741A">
        <w:rPr>
          <w:rFonts w:ascii="Times New Roman" w:hAnsi="Times New Roman" w:cs="Times New Roman"/>
          <w:sz w:val="28"/>
          <w:szCs w:val="28"/>
        </w:rPr>
        <w:t>%.</w:t>
      </w:r>
      <w:proofErr w:type="gramEnd"/>
    </w:p>
    <w:p w:rsidR="00087DBD" w:rsidRDefault="00087DBD" w:rsidP="00087DBD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2B377E">
        <w:rPr>
          <w:rFonts w:ascii="Times New Roman" w:hAnsi="Times New Roman" w:cs="Times New Roman"/>
          <w:sz w:val="28"/>
          <w:szCs w:val="28"/>
        </w:rPr>
        <w:t xml:space="preserve">Несмотря на улучшение основных показателей рынка труда в последние годы, в 2017-2019 годах проблемными останутся такие вопросы, как сезонная </w:t>
      </w:r>
      <w:r w:rsidRPr="002B377E">
        <w:rPr>
          <w:rFonts w:ascii="Times New Roman" w:hAnsi="Times New Roman" w:cs="Times New Roman"/>
          <w:sz w:val="28"/>
          <w:szCs w:val="28"/>
        </w:rPr>
        <w:lastRenderedPageBreak/>
        <w:t>занятость, присутствие на рынке труда значительной части женщин и молодежи.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377E">
        <w:rPr>
          <w:rFonts w:ascii="Times New Roman" w:hAnsi="Times New Roman" w:cs="Times New Roman"/>
          <w:sz w:val="28"/>
          <w:szCs w:val="28"/>
        </w:rPr>
        <w:t xml:space="preserve">Важнейшей задачей станет развитие качества рабочей силы, подготовка высококвалифицированных работников и приведение профессионально-квалификационной структуры кадров в соответствие с текущими и перспективными потребностями экономики и устранение существующего дисбаланса рынка труда. </w:t>
      </w:r>
      <w:proofErr w:type="gramEnd"/>
    </w:p>
    <w:p w:rsidR="006C02D6" w:rsidRDefault="002873FB" w:rsidP="00622CB2">
      <w:pPr>
        <w:pStyle w:val="1"/>
        <w:spacing w:before="240" w:after="240"/>
      </w:pPr>
      <w:bookmarkStart w:id="38" w:name="_Toc465927693"/>
      <w:r>
        <w:t>9</w:t>
      </w:r>
      <w:r w:rsidR="006C02D6" w:rsidRPr="00CE70ED">
        <w:t>. Доходы населения</w:t>
      </w:r>
      <w:bookmarkEnd w:id="38"/>
      <w:r w:rsidR="006C02D6">
        <w:t xml:space="preserve"> 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697F18">
        <w:rPr>
          <w:sz w:val="28"/>
          <w:szCs w:val="28"/>
        </w:rPr>
        <w:t>Основным источником денежных доходов населения городского округа является оплата труда наемных работников.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697F18">
        <w:rPr>
          <w:sz w:val="28"/>
          <w:szCs w:val="28"/>
        </w:rPr>
        <w:t xml:space="preserve">В 2015 году, в связи с сохраняющимся высоким уровнем инфляции и сложной экономической ситуацией, реальная заработная плата в целом по городскому округу составила 96,2 % к уровню 2014 года. Размер </w:t>
      </w:r>
      <w:proofErr w:type="gramStart"/>
      <w:r w:rsidRPr="00697F18">
        <w:rPr>
          <w:sz w:val="28"/>
          <w:szCs w:val="28"/>
        </w:rPr>
        <w:t>среднемесячной</w:t>
      </w:r>
      <w:proofErr w:type="gramEnd"/>
      <w:r w:rsidRPr="00697F18">
        <w:rPr>
          <w:sz w:val="28"/>
          <w:szCs w:val="28"/>
        </w:rPr>
        <w:t xml:space="preserve"> номинальной начисленной</w:t>
      </w:r>
      <w:r w:rsidRPr="00697F18">
        <w:rPr>
          <w:i/>
          <w:iCs/>
          <w:sz w:val="28"/>
          <w:szCs w:val="28"/>
        </w:rPr>
        <w:t xml:space="preserve"> </w:t>
      </w:r>
      <w:r w:rsidRPr="00697F18">
        <w:rPr>
          <w:sz w:val="28"/>
          <w:szCs w:val="28"/>
        </w:rPr>
        <w:t>заработной плата в целом  городского округа составила 60 575 рублей, что на 7,7 % выше уровня 2014 года.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697F18">
        <w:rPr>
          <w:sz w:val="28"/>
          <w:szCs w:val="28"/>
        </w:rPr>
        <w:t>Среднемесячная номинальная начисленная заработная плата работников крупных и средних организаций составила 67 256 рублей, или 107,3 % к 2014 году. Сохраняется высокая межотраслевая дифференциация заработной платы.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proofErr w:type="gramStart"/>
      <w:r w:rsidRPr="00697F18">
        <w:rPr>
          <w:sz w:val="28"/>
          <w:szCs w:val="28"/>
        </w:rPr>
        <w:t>Наиболее высокий уровень средней заработной платы по крупным и средним организациям сложился по виду деятельности «Добыча полезных ископаемых» - 191 816,5 рублей (в 2,9 раза выше среднемесячной заработной платы, сложившейся в городском округе).</w:t>
      </w:r>
      <w:proofErr w:type="gramEnd"/>
      <w:r w:rsidRPr="00697F18">
        <w:rPr>
          <w:sz w:val="28"/>
          <w:szCs w:val="28"/>
        </w:rPr>
        <w:t xml:space="preserve"> Также, выше среднемесячной сложилась заработная плата по видам деятельности: «Финансовая деятельность» - 92 913,4 рублей (в 1,4 раза), «Обрабатывающие производства» - 88 081,2 рублей (в 1,35 раза), «Государственное управление и обеспечение военной безопасности, обязательное социальное страхование» - 72 885,8 рублей (в 1,09 раза), «Деятельность сухопутного транспорта - 88 268,1 рублей (в 1,3 раза). 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697F18">
        <w:rPr>
          <w:sz w:val="28"/>
          <w:szCs w:val="28"/>
        </w:rPr>
        <w:t xml:space="preserve">Ниже средней сложилась заработная плата по видам экономической деятельности: </w:t>
      </w:r>
      <w:proofErr w:type="gramStart"/>
      <w:r w:rsidRPr="00697F18">
        <w:rPr>
          <w:sz w:val="28"/>
          <w:szCs w:val="28"/>
        </w:rPr>
        <w:t>«Здравоохранение и предоставление социальных услуг» - 58 961,3 рубля (79,4 % к уровню среднемесячной заработной платы, сложившейся в городском округе), «Строительство» - 54 134,1 рублей (81,1 %), «Операции с недвижимым имуществом» - 65 073,5 рубля (96,9 %), «Рыболовство и рыбоводство» - 52 626,3 рублей (78,4 %), «Сельское хозяйство» - 46 096,3 рублей (68,7 %), «Оптовая и розничная торговля» - 40 997,5 рублей (61,1 %), «Предоставление прочих коммунальных и персональных услуг» - 53 273,4</w:t>
      </w:r>
      <w:proofErr w:type="gramEnd"/>
      <w:r w:rsidRPr="00697F18">
        <w:rPr>
          <w:sz w:val="28"/>
          <w:szCs w:val="28"/>
        </w:rPr>
        <w:t xml:space="preserve"> рубля (79,4 %), «Связь» - 46 533,1 рубля (69,3 %), «Деятельность гостиниц и ресторанов» - 35 049,4 рублей (52,2 %).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697F18">
        <w:rPr>
          <w:sz w:val="28"/>
          <w:szCs w:val="28"/>
        </w:rPr>
        <w:t>Соотношение среднемесячной номинальной заработной платы и величины прожиточного минимума трудоспособного населения за 2015 год составило 360,0 % (аналогичный показатель предыдущего года - 390,0 %).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697F18">
        <w:rPr>
          <w:sz w:val="28"/>
          <w:szCs w:val="28"/>
        </w:rPr>
        <w:t>На 01.01.2016 года средний размер назначенных месячных пенсий по городскому округу сложился в размере 19 150,1 рублей, номинальный рост составил 110,8 %, реальный размер назначенных пенсий составил 100,4 %.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697F18">
        <w:rPr>
          <w:sz w:val="28"/>
          <w:szCs w:val="28"/>
        </w:rPr>
        <w:t>Численность пенсионеров в городском округе</w:t>
      </w:r>
      <w:r w:rsidRPr="00697F18">
        <w:rPr>
          <w:b/>
          <w:bCs/>
          <w:i/>
          <w:iCs/>
          <w:sz w:val="28"/>
          <w:szCs w:val="28"/>
        </w:rPr>
        <w:t xml:space="preserve"> </w:t>
      </w:r>
      <w:r w:rsidRPr="00697F18">
        <w:rPr>
          <w:sz w:val="28"/>
          <w:szCs w:val="28"/>
        </w:rPr>
        <w:t>увеличилась по сравнению с предшествующим периодом на 0,4 % и составила 52 636 человек - 29,1 % от общей численности населения городского округа.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697F18">
        <w:rPr>
          <w:sz w:val="28"/>
          <w:szCs w:val="28"/>
        </w:rPr>
        <w:lastRenderedPageBreak/>
        <w:t xml:space="preserve">По сравнению с 2014 годом доля пенсионеров, продолжающих работать после назначения пенсии, увеличилась на 0,2 процентных пункта, их численность составила 27 476 человек. 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697F18">
        <w:rPr>
          <w:sz w:val="28"/>
          <w:szCs w:val="28"/>
        </w:rPr>
        <w:t>В соответствии с Законом Рос</w:t>
      </w:r>
      <w:r>
        <w:rPr>
          <w:sz w:val="28"/>
          <w:szCs w:val="28"/>
        </w:rPr>
        <w:t>сийской Федерации от 17.07.</w:t>
      </w:r>
      <w:r w:rsidRPr="00697F18">
        <w:rPr>
          <w:sz w:val="28"/>
          <w:szCs w:val="28"/>
        </w:rPr>
        <w:t xml:space="preserve"> № 178-ФЗ «О государственной социальной помощи» с 2010 года неработающим получателям пенсий установлена региональная доплата к пенсии с учетом совокупности всех социальных выплат, отнесенных к мерам социальной поддержки населения до размера прожиточного минимума. 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697F18">
        <w:rPr>
          <w:sz w:val="28"/>
          <w:szCs w:val="28"/>
        </w:rPr>
        <w:t>В 2015 году соотношение среднего размера месячной пенсии к средней величине прожиточного минимума пенсионера в городском округе составило 133,5 % (в 2014 году 139,6 % %).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2873FB">
        <w:rPr>
          <w:bCs/>
          <w:iCs/>
          <w:sz w:val="28"/>
          <w:szCs w:val="28"/>
        </w:rPr>
        <w:t>По оценке, в 2016 году</w:t>
      </w:r>
      <w:r w:rsidRPr="00697F18">
        <w:rPr>
          <w:sz w:val="28"/>
          <w:szCs w:val="28"/>
        </w:rPr>
        <w:t xml:space="preserve"> среднемесячная номинальная начисленная заработная плата в целом по городскому округу составит 60 575 рублей. Наиболее высокий рост заработной платы ожидается на транспорте, в сфере предоставления социальных услуг, а также в сфере промышленного производства: добыче полезных ископаемых, обрабатывающих производствах, производстве и распределении электроэнергии, газа и воды.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proofErr w:type="gramStart"/>
      <w:r w:rsidRPr="00697F18">
        <w:rPr>
          <w:sz w:val="28"/>
          <w:szCs w:val="28"/>
        </w:rPr>
        <w:t>По предварительной оценке, в 2016 году</w:t>
      </w:r>
      <w:r w:rsidRPr="00697F18">
        <w:rPr>
          <w:b/>
          <w:bCs/>
          <w:sz w:val="28"/>
          <w:szCs w:val="28"/>
        </w:rPr>
        <w:t xml:space="preserve"> </w:t>
      </w:r>
      <w:r w:rsidRPr="00697F18">
        <w:rPr>
          <w:sz w:val="28"/>
          <w:szCs w:val="28"/>
        </w:rPr>
        <w:t>ожидается снижение реальной заработной платы на 2,4 %, незначительный рост реального размера назначенных пенсий на 0,5 %. Номинальный размер назначенных пенсий составит 20 452 рубля, увеличившись к уровню 2015 года на 6,8 %. Величина прожиточного минимума оценивается в 19 281 рубль, что выше уровня 2015 года на 7,0 %.</w:t>
      </w:r>
      <w:proofErr w:type="gramEnd"/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697F18">
        <w:rPr>
          <w:sz w:val="28"/>
          <w:szCs w:val="28"/>
        </w:rPr>
        <w:t>В прогнозном периоде, как и в предыдущие годы, основным доходным источником населения будет оплата труда наемных работников.</w:t>
      </w:r>
    </w:p>
    <w:p w:rsidR="002873FB" w:rsidRDefault="002873FB" w:rsidP="00F057E2">
      <w:pPr>
        <w:pStyle w:val="a8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В 2017-</w:t>
      </w:r>
      <w:r w:rsidR="00F057E2" w:rsidRPr="00697F18">
        <w:rPr>
          <w:sz w:val="28"/>
          <w:szCs w:val="28"/>
        </w:rPr>
        <w:t xml:space="preserve">2019 годах рост средней заработной платы в целом по городскому округу ожидается ежегодно в пределах 5,0 % - 6,0 % по варианту 1 Прогноза и 6,8 % - </w:t>
      </w:r>
      <w:r>
        <w:rPr>
          <w:sz w:val="28"/>
          <w:szCs w:val="28"/>
        </w:rPr>
        <w:t>7,3 % - по варианту 2 Прогноза.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697F18">
        <w:rPr>
          <w:sz w:val="28"/>
          <w:szCs w:val="28"/>
        </w:rPr>
        <w:t>В бюджетной сфере до 2018 года будет продолжена реализация мер по повышению оплаты труда отдельных категорий работников, в соответствии с Указом Президента Российской Федерации от 7 мая 2012 г. № 597 «О мероприятиях по реализации государственной социальной политики». В 2019 году заработную плату указанных категорий работников предполагается сохранить на уровне, достигнутом в 2018 году. Для внебюджетного сектора экономики, по-прежнему, будет актуальна необходимость сдерживания роста издержек производства, в том числе и за счет оптимизации издержек на оплату труда.</w:t>
      </w:r>
    </w:p>
    <w:p w:rsidR="00F057E2" w:rsidRPr="00697F18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697F18">
        <w:rPr>
          <w:sz w:val="28"/>
          <w:szCs w:val="28"/>
        </w:rPr>
        <w:t xml:space="preserve">В прогнозе до 2019 года в городском округе предполагается ежегодный рост номинальной заработной платы, снижение реальной заработной платы в 2016 году и постепенное увеличение в 2017-2019 годах. Динамика реальной заработной в целом по городскому округу по варианту 1 Прогноза представлена на рисунке </w:t>
      </w:r>
      <w:r w:rsidR="002873FB">
        <w:rPr>
          <w:sz w:val="28"/>
          <w:szCs w:val="28"/>
        </w:rPr>
        <w:t>9</w:t>
      </w:r>
      <w:r w:rsidRPr="00697F18">
        <w:rPr>
          <w:sz w:val="28"/>
          <w:szCs w:val="28"/>
        </w:rPr>
        <w:t>.1:</w:t>
      </w:r>
    </w:p>
    <w:p w:rsidR="006C02D6" w:rsidRPr="00151C05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295EC6BC" wp14:editId="33FAD677">
            <wp:extent cx="5124450" cy="2809875"/>
            <wp:effectExtent l="0" t="0" r="19050" b="9525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6C02D6" w:rsidRPr="00CE70ED" w:rsidRDefault="006C02D6" w:rsidP="00FD3E81">
      <w:pPr>
        <w:widowControl w:val="0"/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64584">
        <w:rPr>
          <w:rFonts w:ascii="Times New Roman" w:eastAsia="Calibri" w:hAnsi="Times New Roman" w:cs="Times New Roman"/>
          <w:i/>
          <w:sz w:val="24"/>
          <w:szCs w:val="24"/>
        </w:rPr>
        <w:t xml:space="preserve">Рис. </w:t>
      </w:r>
      <w:r w:rsidR="002873FB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Pr="00564584">
        <w:rPr>
          <w:rFonts w:ascii="Times New Roman" w:eastAsia="Calibri" w:hAnsi="Times New Roman" w:cs="Times New Roman"/>
          <w:i/>
          <w:sz w:val="24"/>
          <w:szCs w:val="24"/>
        </w:rPr>
        <w:t>.1.</w:t>
      </w:r>
      <w:r w:rsidRPr="00CE70E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D3E81">
        <w:rPr>
          <w:rFonts w:ascii="Times New Roman" w:eastAsia="Calibri" w:hAnsi="Times New Roman" w:cs="Times New Roman"/>
          <w:i/>
          <w:sz w:val="24"/>
          <w:szCs w:val="24"/>
        </w:rPr>
        <w:t>Прогноз</w:t>
      </w:r>
      <w:r w:rsidRPr="00CE70ED">
        <w:rPr>
          <w:rFonts w:ascii="Times New Roman" w:eastAsia="T3Font_5" w:hAnsi="Times New Roman" w:cs="Times New Roman"/>
          <w:i/>
          <w:sz w:val="24"/>
          <w:szCs w:val="24"/>
        </w:rPr>
        <w:t xml:space="preserve"> реальной заработной платы и номинальной </w:t>
      </w:r>
      <w:r w:rsidRPr="00CE70ED">
        <w:rPr>
          <w:rFonts w:ascii="Times New Roman" w:eastAsia="Calibri" w:hAnsi="Times New Roman" w:cs="Times New Roman"/>
          <w:i/>
          <w:sz w:val="24"/>
          <w:szCs w:val="24"/>
        </w:rPr>
        <w:t>начисленной заработной платы работников организаций</w:t>
      </w:r>
      <w:r w:rsidR="00FD3E8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="00FD3E81">
        <w:rPr>
          <w:rFonts w:ascii="Times New Roman" w:eastAsia="Calibri" w:hAnsi="Times New Roman" w:cs="Times New Roman"/>
          <w:i/>
          <w:sz w:val="24"/>
          <w:szCs w:val="24"/>
        </w:rPr>
        <w:t>Петропавловск-Камчатского</w:t>
      </w:r>
      <w:proofErr w:type="gramEnd"/>
      <w:r w:rsidR="00FD3E81">
        <w:rPr>
          <w:rFonts w:ascii="Times New Roman" w:eastAsia="Calibri" w:hAnsi="Times New Roman" w:cs="Times New Roman"/>
          <w:i/>
          <w:sz w:val="24"/>
          <w:szCs w:val="24"/>
        </w:rPr>
        <w:t xml:space="preserve"> городского округа на период 2017-2019 годов</w:t>
      </w:r>
    </w:p>
    <w:p w:rsidR="00F057E2" w:rsidRPr="00F057E2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F057E2">
        <w:rPr>
          <w:sz w:val="28"/>
          <w:szCs w:val="28"/>
        </w:rPr>
        <w:t>По варианту 1 Прогноза к 2019 году заработная плата, выплачиваемая работникам, составит 73,881 тыс. рублей. Её номинальный рост к уровню средней оплаты труда 2015 года составит порядка 22,0 %.</w:t>
      </w:r>
    </w:p>
    <w:p w:rsidR="00F057E2" w:rsidRPr="00F057E2" w:rsidRDefault="00F057E2" w:rsidP="00F057E2">
      <w:pPr>
        <w:pStyle w:val="a8"/>
        <w:spacing w:before="0" w:beforeAutospacing="0" w:after="0"/>
        <w:rPr>
          <w:sz w:val="28"/>
          <w:szCs w:val="28"/>
        </w:rPr>
      </w:pPr>
      <w:r w:rsidRPr="00F057E2">
        <w:rPr>
          <w:sz w:val="28"/>
          <w:szCs w:val="28"/>
        </w:rPr>
        <w:t>По варианту 2 Прогноза предполагается, что номинальный размер среднемесячной заработной платы составит 67,196 тыс. рублей, 71,884 тыс. рублей, 76,800 тыс. рублей соответственно по годам. В 2019 году ее рост к уровню 2015 года составит 126,8 %.</w:t>
      </w:r>
    </w:p>
    <w:p w:rsidR="00F057E2" w:rsidRPr="00F057E2" w:rsidRDefault="00F057E2" w:rsidP="00F057E2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F057E2">
        <w:rPr>
          <w:rFonts w:ascii="Times New Roman" w:hAnsi="Times New Roman" w:cs="Times New Roman"/>
          <w:sz w:val="28"/>
          <w:szCs w:val="28"/>
        </w:rPr>
        <w:t>Темп роста величины пенсионных выплат будет опережающим по сравнению с ростом индекса потребительских цен. Средний размер пенсии в 2019 году ожидается на уровне 23 871,0 рублей. Номинальный рост составит 24,7 % к уровню 2015 года.</w:t>
      </w:r>
    </w:p>
    <w:p w:rsidR="00F057E2" w:rsidRPr="00F057E2" w:rsidRDefault="00F057E2" w:rsidP="00F057E2">
      <w:pPr>
        <w:pStyle w:val="a8"/>
        <w:spacing w:before="0" w:beforeAutospacing="0" w:after="0"/>
        <w:rPr>
          <w:strike/>
          <w:sz w:val="28"/>
          <w:szCs w:val="28"/>
        </w:rPr>
      </w:pPr>
    </w:p>
    <w:p w:rsidR="006C02D6" w:rsidRDefault="002873FB" w:rsidP="00A63AFB">
      <w:pPr>
        <w:pStyle w:val="1"/>
        <w:rPr>
          <w:lang w:eastAsia="ru-RU"/>
        </w:rPr>
      </w:pPr>
      <w:bookmarkStart w:id="39" w:name="_Toc465927694"/>
      <w:r>
        <w:rPr>
          <w:lang w:eastAsia="ru-RU"/>
        </w:rPr>
        <w:t>10</w:t>
      </w:r>
      <w:r w:rsidR="006C02D6">
        <w:rPr>
          <w:lang w:eastAsia="ru-RU"/>
        </w:rPr>
        <w:t xml:space="preserve">. </w:t>
      </w:r>
      <w:r w:rsidR="006C02D6" w:rsidRPr="00EC69E5">
        <w:rPr>
          <w:lang w:eastAsia="ru-RU"/>
        </w:rPr>
        <w:t>Инфляция, индекс потребительских цен</w:t>
      </w:r>
      <w:bookmarkEnd w:id="39"/>
    </w:p>
    <w:p w:rsidR="00A63AFB" w:rsidRPr="00A63AFB" w:rsidRDefault="00A63AFB" w:rsidP="00A63AFB">
      <w:pPr>
        <w:rPr>
          <w:lang w:eastAsia="ru-RU"/>
        </w:rPr>
      </w:pPr>
    </w:p>
    <w:p w:rsidR="006C02D6" w:rsidRPr="00EC69E5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2015 году рост цен на потребительские товары и услуги составил 112,62 % (декабрь к декабрю предыдущего года), что ниже общероссийского показателя на 0,29 процентных пункта. </w:t>
      </w:r>
    </w:p>
    <w:p w:rsidR="006C02D6" w:rsidRPr="00EC69E5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Среднегодовой сводный индекс потребительских цен в Камчатском крае за 2015 год сложился на уровне 112,21 %, что на 3,32 процентных пункта ниже среднероссийского показателя и на 0,39 процентных пункта выше аналогичного показателя по краю за предыдущий год.</w:t>
      </w:r>
    </w:p>
    <w:p w:rsidR="006C02D6" w:rsidRPr="00EC69E5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Среднемесячная динамика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индекса потребительских цен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характеризуется колебаниями показателя в пределах от 0,2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% до 2,8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наибольший рост произошел в январе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г.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(2,8%) и феврале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г.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(1,6%).</w:t>
      </w:r>
    </w:p>
    <w:p w:rsidR="006C02D6" w:rsidRPr="00EC69E5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потребительских цен на продовольственные товары в декабре 2015 по отношению к декабрю 2014 года составил 114,82%, что выше уровня индекса потребительских цен на все товары и услуги на 2,2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процентных пункта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02D6" w:rsidRPr="00EC69E5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продовольственном рынке городского округа в 2015 году существенно выросли цены на маргарин - 43,8 %, масло подсолнечное - 39,1 %, чай черный байховый - 35,5 %, майонез - 29,6 %, капусту белокочанную свежую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29,3 %, макаронные изделия из пшеничной муки высшего сорт - 29,0 %, картофель -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27,4 %, рис шлифованный - 27,7 %, яблоки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24,1 %, говядину (кроме бескостного мяса) - 24,3 %, свинину (кроме бескостного мяса) – 18,4 %, рыбу мороженую неразделанную - 16,8 %, круп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гречнев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- 18,1 %.</w:t>
      </w:r>
      <w:proofErr w:type="gramEnd"/>
    </w:p>
    <w:p w:rsidR="006C02D6" w:rsidRPr="00EC69E5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2015 года снизились потребительские цены на </w:t>
      </w:r>
      <w:proofErr w:type="gramStart"/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куры</w:t>
      </w:r>
      <w:proofErr w:type="gramEnd"/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охлажденные и мороженые – 6,2 %, лук репчатый – 0,9 %.</w:t>
      </w:r>
    </w:p>
    <w:p w:rsidR="006C02D6" w:rsidRPr="00EC69E5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1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потребительских цен на непродовольственные товары составил в декабре 2015 года относительно декабря 2014 года 113,83%. </w:t>
      </w:r>
      <w:r w:rsidRPr="00C20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заметно в 2015 году вырос средний уровень цен на сорочки верхние мужские </w:t>
      </w:r>
      <w:r w:rsidRPr="001A1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хлопчатобумажных тканей – 49,6 %,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мыло туалетное – 30,0 </w:t>
      </w:r>
      <w:r w:rsidRPr="001A1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брюки для детей школьного возраста из полушерстяных тканей – 27,4 %, порошок стиральный – 22,4 %,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костюм-двойка мужской из шерстяных, полушерстяных или смесовых тканей – 21,6 %,</w:t>
      </w:r>
      <w:r w:rsidRPr="001A1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табачные изделия – 21,4</w:t>
      </w:r>
      <w:proofErr w:type="gramEnd"/>
      <w:r w:rsidRPr="001A1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</w:t>
      </w:r>
      <w:r w:rsidRPr="00646F1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платье (платье-костюм, сарафан) для девочек школьного возраста из полушерстяных и смесовых тканей – 16,4 %.</w:t>
      </w:r>
    </w:p>
    <w:p w:rsidR="006C02D6" w:rsidRPr="00EC69E5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Среднегодовой рост цен по Камчатскому краю в </w:t>
      </w:r>
      <w:r w:rsidRPr="00EC69E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2016 году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ожидается на уровне 106,3%, что ниже прогнозируемого показателя по Российской Федерации на 1,2 процентных пункта</w:t>
      </w:r>
      <w:r w:rsidRPr="00EC69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декабрю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- 105,9 %, что на 0,6 процентных пункта ниже прогнозируемого показателя по Российской Федерации.</w:t>
      </w:r>
    </w:p>
    <w:p w:rsidR="006C02D6" w:rsidRPr="00EC69E5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индексов потребительских цен по Камчатскому краю на 2017-2019 годы выполнен с учетом среднегодовых темпов роста, исходя из сценарных условий прогноза социально-экономического развития Российской Федерации и на основании фактических региональных </w:t>
      </w:r>
      <w:proofErr w:type="gramStart"/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 среднемесячных поквартальных темпов роста инфляции</w:t>
      </w:r>
      <w:proofErr w:type="gramEnd"/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предшествующий трехлетний период. </w:t>
      </w:r>
    </w:p>
    <w:p w:rsidR="006C02D6" w:rsidRPr="00EC69E5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основному варианту учтены ценовые факторы, определяемые спецификой региональной экономики, которая не предусматривает резких структурных и качественных изменений на потребительском рынке. </w:t>
      </w:r>
      <w:proofErr w:type="gramEnd"/>
    </w:p>
    <w:p w:rsidR="006C02D6" w:rsidRPr="00EC69E5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2017, 2018 и 2019 годы среднегодовой рост цен по первому варианту прогнозируется в размере 105,9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%, 104,8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%  и 104,3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соответственно. </w:t>
      </w:r>
    </w:p>
    <w:p w:rsidR="006C02D6" w:rsidRPr="00EC69E5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 году рост цен «декабрь к декабрю предыдущего года» оценивается на уровне 105,5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%, в 2018 году – 104,5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% и 2019 году – 104,0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6C02D6" w:rsidRDefault="006C02D6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второму варианту прогноза в 2017, 2018 и 2019 годы среднегодовой рост цен оценивается в размере 105,4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%, 104,0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% и 104,0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соответственно, рост цен «декабрь к декабрю предыдущего года» – 105,0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%, 104,0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% и 104,0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9E5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соответственно.</w:t>
      </w:r>
    </w:p>
    <w:p w:rsidR="00A63AFB" w:rsidRPr="00EC69E5" w:rsidRDefault="00A63AFB" w:rsidP="006C02D6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2D6" w:rsidRDefault="006C02D6" w:rsidP="00A63AFB">
      <w:pPr>
        <w:pStyle w:val="1"/>
      </w:pPr>
      <w:bookmarkStart w:id="40" w:name="_Toc430947244"/>
      <w:bookmarkStart w:id="41" w:name="_Toc465927695"/>
      <w:r w:rsidRPr="00A63AFB">
        <w:t>1</w:t>
      </w:r>
      <w:r w:rsidR="002873FB" w:rsidRPr="00A63AFB">
        <w:t>1</w:t>
      </w:r>
      <w:r w:rsidRPr="00A63AFB">
        <w:t>. Поддержка и развитие малого и среднего предпринимательства</w:t>
      </w:r>
      <w:bookmarkEnd w:id="40"/>
      <w:bookmarkEnd w:id="41"/>
    </w:p>
    <w:p w:rsidR="00A63AFB" w:rsidRPr="00A63AFB" w:rsidRDefault="00A63AFB" w:rsidP="00A63AFB"/>
    <w:p w:rsidR="00D77A48" w:rsidRPr="00C61121" w:rsidRDefault="00D77A48" w:rsidP="00D77A48">
      <w:pPr>
        <w:spacing w:after="60"/>
        <w:rPr>
          <w:rFonts w:ascii="Times New Roman" w:hAnsi="Times New Roman"/>
          <w:color w:val="000000"/>
          <w:sz w:val="28"/>
          <w:szCs w:val="28"/>
        </w:rPr>
      </w:pPr>
      <w:r w:rsidRPr="00C61121">
        <w:rPr>
          <w:rFonts w:ascii="Times New Roman" w:hAnsi="Times New Roman"/>
          <w:color w:val="000000"/>
          <w:sz w:val="28"/>
          <w:szCs w:val="28"/>
        </w:rPr>
        <w:t xml:space="preserve">Основным направлением развития малого и среднего предпринимательства в среднесрочный период является создание </w:t>
      </w:r>
      <w:r>
        <w:rPr>
          <w:rFonts w:ascii="Times New Roman" w:hAnsi="Times New Roman"/>
          <w:color w:val="000000"/>
          <w:sz w:val="28"/>
          <w:szCs w:val="28"/>
        </w:rPr>
        <w:t xml:space="preserve">благоприятных условий </w:t>
      </w:r>
      <w:r w:rsidRPr="00C61121">
        <w:rPr>
          <w:rFonts w:ascii="Times New Roman" w:hAnsi="Times New Roman"/>
          <w:color w:val="000000"/>
          <w:sz w:val="28"/>
          <w:szCs w:val="28"/>
        </w:rPr>
        <w:t>для развития малого и среднего бизнеса</w:t>
      </w:r>
      <w:r>
        <w:rPr>
          <w:rFonts w:ascii="Times New Roman" w:hAnsi="Times New Roman"/>
          <w:color w:val="000000"/>
          <w:sz w:val="28"/>
          <w:szCs w:val="28"/>
        </w:rPr>
        <w:t xml:space="preserve"> в городском округе.</w:t>
      </w:r>
    </w:p>
    <w:p w:rsidR="00D77A48" w:rsidRPr="00D77A48" w:rsidRDefault="00DB5F2E" w:rsidP="00D77A4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873FB">
        <w:rPr>
          <w:rFonts w:ascii="Times New Roman" w:hAnsi="Times New Roman" w:cs="Times New Roman"/>
          <w:sz w:val="28"/>
          <w:szCs w:val="28"/>
        </w:rPr>
        <w:t>Поддержка</w:t>
      </w:r>
      <w:r w:rsidR="002873FB" w:rsidRPr="002873FB">
        <w:rPr>
          <w:rFonts w:ascii="Times New Roman" w:hAnsi="Times New Roman" w:cs="Times New Roman"/>
          <w:sz w:val="28"/>
          <w:szCs w:val="28"/>
        </w:rPr>
        <w:t xml:space="preserve"> и </w:t>
      </w:r>
      <w:r w:rsidR="00B0714B" w:rsidRPr="002873FB">
        <w:rPr>
          <w:rFonts w:ascii="Times New Roman" w:hAnsi="Times New Roman" w:cs="Times New Roman"/>
          <w:sz w:val="28"/>
          <w:szCs w:val="28"/>
        </w:rPr>
        <w:t>р</w:t>
      </w:r>
      <w:r w:rsidR="00B0714B" w:rsidRPr="002873FB">
        <w:rPr>
          <w:rFonts w:ascii="Times New Roman" w:eastAsia="Cambria" w:hAnsi="Times New Roman" w:cs="Times New Roman"/>
          <w:sz w:val="28"/>
          <w:szCs w:val="28"/>
        </w:rPr>
        <w:t>азвитие малого и среднего предпринимательства</w:t>
      </w:r>
      <w:r w:rsidR="00B0714B" w:rsidRPr="003B1DFF">
        <w:rPr>
          <w:rFonts w:eastAsia="Cambria"/>
          <w:sz w:val="28"/>
          <w:szCs w:val="28"/>
        </w:rPr>
        <w:t xml:space="preserve"> </w:t>
      </w:r>
      <w:r w:rsidRPr="00DB5F2E">
        <w:rPr>
          <w:rFonts w:ascii="Times New Roman" w:hAnsi="Times New Roman" w:cs="Times New Roman"/>
          <w:sz w:val="28"/>
          <w:szCs w:val="28"/>
        </w:rPr>
        <w:t xml:space="preserve">в городском округе в среднесрочном периоде будет предоставляться в рамках реализации </w:t>
      </w:r>
      <w:r w:rsidR="00D77A48" w:rsidRPr="00D77A48">
        <w:rPr>
          <w:rFonts w:ascii="Times New Roman" w:eastAsia="Cambria" w:hAnsi="Times New Roman" w:cs="Times New Roman"/>
          <w:sz w:val="28"/>
          <w:szCs w:val="28"/>
        </w:rPr>
        <w:t xml:space="preserve">муниципальной программы </w:t>
      </w:r>
      <w:r w:rsidR="00D77A48" w:rsidRPr="00D77A48">
        <w:rPr>
          <w:rFonts w:ascii="Times New Roman" w:hAnsi="Times New Roman" w:cs="Times New Roman"/>
          <w:color w:val="000000"/>
          <w:sz w:val="28"/>
          <w:szCs w:val="28"/>
        </w:rPr>
        <w:t xml:space="preserve">«Реализация экономической политики, инвестиционной, межрегиональной и международной деятельности Петропавловск-Камчатского городского округа» (подпрограмма «Создание </w:t>
      </w:r>
      <w:r w:rsidR="00D77A48" w:rsidRPr="00D77A4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благоприятных условий для обеспечения населения Петропавловск-Камчатского городского округа услугами потребительского рынка </w:t>
      </w:r>
      <w:r w:rsidR="00C975DC">
        <w:rPr>
          <w:rFonts w:ascii="Times New Roman" w:hAnsi="Times New Roman" w:cs="Times New Roman"/>
          <w:color w:val="000000"/>
          <w:sz w:val="28"/>
          <w:szCs w:val="28"/>
        </w:rPr>
        <w:t>и развития предпринимательства», утвержденная постановлени</w:t>
      </w:r>
      <w:r w:rsidR="00A7270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C975D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A7270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975DC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Петропавловск-городского округа от </w:t>
      </w:r>
      <w:r w:rsidR="00881B57">
        <w:rPr>
          <w:rFonts w:ascii="Times New Roman" w:hAnsi="Times New Roman" w:cs="Times New Roman"/>
          <w:color w:val="000000"/>
          <w:sz w:val="28"/>
          <w:szCs w:val="28"/>
        </w:rPr>
        <w:t>01.11.2013</w:t>
      </w:r>
      <w:r w:rsidR="00C975DC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881B57">
        <w:rPr>
          <w:rFonts w:ascii="Times New Roman" w:hAnsi="Times New Roman" w:cs="Times New Roman"/>
          <w:color w:val="000000"/>
          <w:sz w:val="28"/>
          <w:szCs w:val="28"/>
        </w:rPr>
        <w:t xml:space="preserve">3485 </w:t>
      </w:r>
      <w:r w:rsidR="00A72709">
        <w:rPr>
          <w:rFonts w:ascii="Times New Roman" w:hAnsi="Times New Roman" w:cs="Times New Roman"/>
          <w:color w:val="000000"/>
          <w:sz w:val="28"/>
          <w:szCs w:val="28"/>
        </w:rPr>
        <w:t xml:space="preserve">и от 12.10.2016 </w:t>
      </w:r>
      <w:r w:rsidR="00881B5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A72709">
        <w:rPr>
          <w:rFonts w:ascii="Times New Roman" w:hAnsi="Times New Roman" w:cs="Times New Roman"/>
          <w:color w:val="000000"/>
          <w:sz w:val="28"/>
          <w:szCs w:val="28"/>
        </w:rPr>
        <w:t>№ 1982.</w:t>
      </w:r>
      <w:proofErr w:type="gramEnd"/>
    </w:p>
    <w:p w:rsidR="00DB5F2E" w:rsidRPr="00D77A48" w:rsidRDefault="00D77A48" w:rsidP="00DB5F2E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7A48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планом мероприятий данной программы предпринимателям ежегодно предоставляются различные виды финансовой поддержки</w:t>
      </w:r>
      <w:r w:rsidR="00DB5F2E">
        <w:rPr>
          <w:rFonts w:ascii="Times New Roman" w:eastAsia="Calibri" w:hAnsi="Times New Roman" w:cs="Times New Roman"/>
          <w:sz w:val="28"/>
          <w:szCs w:val="28"/>
          <w:lang w:eastAsia="ru-RU"/>
        </w:rPr>
        <w:t>, о</w:t>
      </w:r>
      <w:r w:rsidR="00DB5F2E" w:rsidRPr="00D77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казывается информационная, консультационная, </w:t>
      </w:r>
      <w:r w:rsidR="00DB5F2E" w:rsidRPr="00D77A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методическая</w:t>
      </w:r>
      <w:r w:rsidR="00DB5F2E" w:rsidRPr="00D77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правовая помощь.</w:t>
      </w:r>
      <w:r w:rsidR="00B071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Финансовая поддержка предоставляется:</w:t>
      </w:r>
    </w:p>
    <w:p w:rsidR="00D77A48" w:rsidRPr="00D77A48" w:rsidRDefault="00D77A48" w:rsidP="00D77A48">
      <w:pPr>
        <w:widowControl w:val="0"/>
        <w:spacing w:after="0"/>
        <w:rPr>
          <w:rFonts w:ascii="Times New Roman" w:hAnsi="Times New Roman"/>
          <w:color w:val="000000"/>
          <w:sz w:val="28"/>
          <w:szCs w:val="28"/>
        </w:rPr>
      </w:pPr>
      <w:r w:rsidRPr="00D77A48"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gramStart"/>
      <w:r w:rsidRPr="00D77A48">
        <w:rPr>
          <w:rFonts w:ascii="Times New Roman" w:hAnsi="Times New Roman"/>
          <w:color w:val="000000"/>
          <w:sz w:val="28"/>
          <w:szCs w:val="28"/>
        </w:rPr>
        <w:t>в виде субсидий на возмещения затрат на приобретение основных средств на ранней стадии</w:t>
      </w:r>
      <w:proofErr w:type="gramEnd"/>
      <w:r w:rsidRPr="00D77A48">
        <w:rPr>
          <w:rFonts w:ascii="Times New Roman" w:hAnsi="Times New Roman"/>
          <w:color w:val="000000"/>
          <w:sz w:val="28"/>
          <w:szCs w:val="28"/>
        </w:rPr>
        <w:t xml:space="preserve"> деятельности; возмещения затрат, связанных с уплатой процентов по кредитам, привлеченным в российских кредитных организациях; возмещения затрат, связанных с приобретением оборудования для создания и (или) развития и (или) модернизации производства товаров (работ, услуг);</w:t>
      </w:r>
    </w:p>
    <w:p w:rsidR="00D77A48" w:rsidRPr="00D77A48" w:rsidRDefault="00D77A48" w:rsidP="00D77A48">
      <w:pPr>
        <w:widowControl w:val="0"/>
        <w:spacing w:after="0"/>
        <w:rPr>
          <w:rFonts w:ascii="Times New Roman" w:hAnsi="Times New Roman"/>
          <w:color w:val="000000"/>
          <w:sz w:val="28"/>
          <w:szCs w:val="28"/>
        </w:rPr>
      </w:pPr>
      <w:r w:rsidRPr="00D77A4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в виде грантов начинающим субъектам малого предпринимательства на создание собственного бизнеса</w:t>
      </w:r>
      <w:r w:rsidRPr="00D77A48">
        <w:rPr>
          <w:rFonts w:ascii="Times New Roman" w:hAnsi="Times New Roman"/>
          <w:color w:val="000000"/>
          <w:sz w:val="28"/>
          <w:szCs w:val="28"/>
        </w:rPr>
        <w:t>.</w:t>
      </w:r>
    </w:p>
    <w:p w:rsidR="00D77A48" w:rsidRPr="00D77A48" w:rsidRDefault="002215FD" w:rsidP="00D77A48">
      <w:pPr>
        <w:widowControl w:val="0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Планируется финансов</w:t>
      </w:r>
      <w:r w:rsidR="00DB5F2E">
        <w:rPr>
          <w:rFonts w:ascii="Times New Roman" w:hAnsi="Times New Roman"/>
          <w:color w:val="000000"/>
          <w:sz w:val="28"/>
          <w:szCs w:val="28"/>
        </w:rPr>
        <w:t>ая</w:t>
      </w:r>
      <w:r w:rsidR="00D77A48" w:rsidRPr="00D77A48">
        <w:rPr>
          <w:rFonts w:ascii="Times New Roman" w:hAnsi="Times New Roman"/>
          <w:color w:val="000000"/>
          <w:sz w:val="28"/>
          <w:szCs w:val="28"/>
        </w:rPr>
        <w:t xml:space="preserve"> поддержка проектов, реализуемых субъектами малого и среднего предпринимательства в сфере социального партнерства</w:t>
      </w:r>
      <w:r w:rsidR="00D77A48" w:rsidRPr="00D77A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77A48" w:rsidRPr="00D77A48">
        <w:rPr>
          <w:rFonts w:ascii="Times New Roman" w:eastAsia="Times New Roman" w:hAnsi="Times New Roman" w:cs="Times New Roman"/>
          <w:sz w:val="28"/>
          <w:szCs w:val="28"/>
          <w:lang w:eastAsia="ru-RU"/>
        </w:rPr>
        <w:t>(организаци</w:t>
      </w:r>
      <w:r w:rsidR="003979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77A48" w:rsidRPr="00D77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мест для трудоустройства социально и экономически незащищенных слоев и групп населения) и проект</w:t>
      </w:r>
      <w:r w:rsidR="00D77A4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77A48" w:rsidRPr="00D77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развитию турист</w:t>
      </w:r>
      <w:r w:rsidR="00D77A48" w:rsidRPr="00D77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ских ресурсов городского округа, </w:t>
      </w:r>
      <w:r w:rsidR="00D77A48" w:rsidRPr="00D77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ремесленничества, </w:t>
      </w:r>
      <w:proofErr w:type="gramStart"/>
      <w:r w:rsidR="00D77A48" w:rsidRPr="00D77A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народных художественных</w:t>
      </w:r>
      <w:proofErr w:type="gramEnd"/>
      <w:r w:rsidR="00D77A48" w:rsidRPr="00D77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промыслов.</w:t>
      </w:r>
    </w:p>
    <w:p w:rsidR="00D77A48" w:rsidRPr="00D77A48" w:rsidRDefault="00D77A48" w:rsidP="00D77A4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направлении развития работают информационно-консультационный центр и </w:t>
      </w:r>
      <w:proofErr w:type="spellStart"/>
      <w:r w:rsidRPr="00D77A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коворкинг</w:t>
      </w:r>
      <w:proofErr w:type="spellEnd"/>
      <w:r w:rsidRPr="00D77A48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-центр. В прогнозном периоде планируется дальнейшее создание инфраструктуры поддержки для малого и среднего предпринимательства: бизнес-инкубатор и промышленный парк «</w:t>
      </w:r>
      <w:r w:rsidR="00C975D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Дальний</w:t>
      </w:r>
      <w:r w:rsidRPr="00D77A4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77A48" w:rsidRPr="00D77A48" w:rsidRDefault="00D77A48" w:rsidP="00D77A48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77A48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мероприятий по популяризации предпринимательской деятельности среди населения, финансовой, информационной и консультационной поддержке субъектов малого и среднего предпринимательства, снижению уровня нагрузки на субъекты малого и среднего предпринимательства от избыточных административных барьеров позволит обеспечить увеличение количества малых и средних предприятий и численности работников, занятых в данной сфере.</w:t>
      </w:r>
      <w:proofErr w:type="gramEnd"/>
    </w:p>
    <w:p w:rsidR="00275D97" w:rsidRPr="00275D97" w:rsidRDefault="00275D97" w:rsidP="00275D97">
      <w:pPr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 w:rsidRPr="00275D97">
        <w:rPr>
          <w:rFonts w:ascii="Times New Roman" w:hAnsi="Times New Roman" w:cs="Times New Roman"/>
          <w:sz w:val="28"/>
          <w:szCs w:val="28"/>
          <w:lang w:eastAsia="ru-RU"/>
        </w:rPr>
        <w:t xml:space="preserve">На начало 2017 года количество субъектов малого и среднего предпринимательства составит </w:t>
      </w:r>
      <w:r w:rsidRPr="00DB5F2E">
        <w:rPr>
          <w:rFonts w:ascii="Times New Roman" w:hAnsi="Times New Roman" w:cs="Times New Roman"/>
          <w:sz w:val="28"/>
          <w:szCs w:val="28"/>
          <w:lang w:eastAsia="ru-RU"/>
        </w:rPr>
        <w:t>3592</w:t>
      </w:r>
      <w:r w:rsidRPr="00275D97">
        <w:rPr>
          <w:rFonts w:ascii="Times New Roman" w:hAnsi="Times New Roman" w:cs="Times New Roman"/>
          <w:sz w:val="28"/>
          <w:szCs w:val="28"/>
          <w:lang w:eastAsia="ru-RU"/>
        </w:rPr>
        <w:t xml:space="preserve"> единиц</w:t>
      </w:r>
      <w:r w:rsidRPr="00DB5F2E">
        <w:rPr>
          <w:rFonts w:ascii="Times New Roman" w:hAnsi="Times New Roman" w:cs="Times New Roman"/>
          <w:sz w:val="28"/>
          <w:szCs w:val="28"/>
          <w:lang w:eastAsia="ru-RU"/>
        </w:rPr>
        <w:t xml:space="preserve">ы. </w:t>
      </w:r>
      <w:r w:rsidRPr="00275D97">
        <w:rPr>
          <w:rFonts w:ascii="Times New Roman" w:hAnsi="Times New Roman" w:cs="Times New Roman"/>
          <w:sz w:val="28"/>
          <w:szCs w:val="28"/>
          <w:lang w:eastAsia="ru-RU"/>
        </w:rPr>
        <w:t xml:space="preserve">Удельный вес занятых в малом и среднем предпринимательстве в общей численности </w:t>
      </w:r>
      <w:r w:rsidR="00397969" w:rsidRPr="00DB5F2E">
        <w:rPr>
          <w:rFonts w:ascii="Times New Roman" w:hAnsi="Times New Roman" w:cs="Times New Roman"/>
          <w:sz w:val="28"/>
          <w:szCs w:val="28"/>
          <w:lang w:eastAsia="ru-RU"/>
        </w:rPr>
        <w:t xml:space="preserve">работников организаций городского округа </w:t>
      </w:r>
      <w:r w:rsidRPr="00275D97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составит около </w:t>
      </w:r>
      <w:r w:rsidR="00397969" w:rsidRPr="00DB5F2E">
        <w:rPr>
          <w:rFonts w:ascii="Times New Roman" w:hAnsi="Times New Roman" w:cs="Times New Roman"/>
          <w:sz w:val="28"/>
          <w:szCs w:val="28"/>
          <w:lang w:eastAsia="ru-RU"/>
        </w:rPr>
        <w:t xml:space="preserve">25,6 </w:t>
      </w:r>
      <w:r w:rsidRPr="00275D97">
        <w:rPr>
          <w:rFonts w:ascii="Times New Roman" w:hAnsi="Times New Roman" w:cs="Times New Roman"/>
          <w:sz w:val="28"/>
          <w:szCs w:val="28"/>
          <w:lang w:eastAsia="ru-RU"/>
        </w:rPr>
        <w:t xml:space="preserve">%. Оборот субъектов малого и среднего предпринимательства – </w:t>
      </w:r>
      <w:r w:rsidRPr="00DB5F2E">
        <w:rPr>
          <w:rFonts w:ascii="Times New Roman" w:hAnsi="Times New Roman" w:cs="Times New Roman"/>
          <w:sz w:val="28"/>
          <w:szCs w:val="28"/>
          <w:lang w:eastAsia="ru-RU"/>
        </w:rPr>
        <w:t>59,5</w:t>
      </w:r>
      <w:r w:rsidRPr="00275D97">
        <w:rPr>
          <w:rFonts w:ascii="Times New Roman" w:hAnsi="Times New Roman" w:cs="Times New Roman"/>
          <w:sz w:val="28"/>
          <w:szCs w:val="28"/>
          <w:lang w:eastAsia="ru-RU"/>
        </w:rPr>
        <w:t xml:space="preserve"> млрд. рублей. </w:t>
      </w:r>
    </w:p>
    <w:p w:rsidR="00D77A48" w:rsidRPr="00D77A48" w:rsidRDefault="00BA46E9" w:rsidP="00D77A48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A46E9">
        <w:rPr>
          <w:rFonts w:ascii="Times New Roman" w:hAnsi="Times New Roman" w:cs="Times New Roman"/>
          <w:sz w:val="28"/>
          <w:szCs w:val="28"/>
        </w:rPr>
        <w:t>Сложившиеся отраслевая структура предпринимательства, занятости на малых и средних предприятиях и структура выручки от реализации товаров и услуг свидетельствуют о развитии предпринимательства преимущественно в сфере оптовой, розничной торговли и оказания бытовых услуг населению.</w:t>
      </w:r>
      <w:proofErr w:type="gramEnd"/>
    </w:p>
    <w:p w:rsidR="005C0069" w:rsidRPr="00DB5F2E" w:rsidRDefault="006C02D6" w:rsidP="006C02D6">
      <w:pPr>
        <w:widowControl w:val="0"/>
        <w:tabs>
          <w:tab w:val="left" w:pos="0"/>
        </w:tabs>
        <w:spacing w:after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B5F2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общем количестве малых и средних предприятий наибольший удельный вес приходится на оптовую и розничную торговлю, ремонт автотранспортных средств, мотоциклов, бытовых изделий и предметов личного пользования </w:t>
      </w:r>
      <w:r w:rsidRPr="00DB5F2E">
        <w:rPr>
          <w:rFonts w:ascii="Times New Roman" w:hAnsi="Times New Roman" w:cs="Times New Roman"/>
          <w:sz w:val="28"/>
          <w:szCs w:val="28"/>
        </w:rPr>
        <w:t>(далее - предприятия потребительского рынка)</w:t>
      </w:r>
      <w:r w:rsidRPr="00DB5F2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- 34,2 % ,</w:t>
      </w:r>
      <w:r w:rsidR="005C0069" w:rsidRPr="00DB5F2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сфере материального производства занято 51,5 %</w:t>
      </w:r>
      <w:r w:rsidR="00DB5F2E" w:rsidRPr="00DB5F2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8A41C6" w:rsidRDefault="006C02D6" w:rsidP="00DB5F2E">
      <w:pPr>
        <w:spacing w:after="0"/>
        <w:rPr>
          <w:rFonts w:ascii="Times New Roman" w:hAnsi="Times New Roman"/>
          <w:sz w:val="28"/>
          <w:szCs w:val="28"/>
        </w:rPr>
      </w:pPr>
      <w:r w:rsidRPr="00DB5F2E">
        <w:rPr>
          <w:rFonts w:ascii="Times New Roman" w:hAnsi="Times New Roman"/>
          <w:kern w:val="1"/>
          <w:sz w:val="28"/>
          <w:szCs w:val="28"/>
        </w:rPr>
        <w:lastRenderedPageBreak/>
        <w:t>На развитие малого бизнеса значительное влияние оказывает индивидуальное предпринимательство</w:t>
      </w:r>
      <w:r w:rsidR="008A41C6">
        <w:rPr>
          <w:rFonts w:ascii="Times New Roman" w:hAnsi="Times New Roman"/>
          <w:kern w:val="1"/>
          <w:sz w:val="28"/>
          <w:szCs w:val="28"/>
        </w:rPr>
        <w:t>.</w:t>
      </w:r>
      <w:r w:rsidRPr="00DB5F2E">
        <w:rPr>
          <w:rFonts w:ascii="Times New Roman" w:hAnsi="Times New Roman"/>
          <w:kern w:val="1"/>
          <w:sz w:val="28"/>
          <w:szCs w:val="28"/>
        </w:rPr>
        <w:t xml:space="preserve"> </w:t>
      </w:r>
      <w:r w:rsidRPr="00DB5F2E">
        <w:rPr>
          <w:rFonts w:ascii="Times New Roman" w:hAnsi="Times New Roman"/>
          <w:sz w:val="28"/>
          <w:szCs w:val="28"/>
        </w:rPr>
        <w:t>Количество индивидуальных предпринимателей в 2015 году снизилось по сравнению с 2014 годом на 1,6 %.</w:t>
      </w:r>
    </w:p>
    <w:p w:rsidR="006C02D6" w:rsidRPr="00DB5F2E" w:rsidRDefault="006C02D6" w:rsidP="00DB5F2E">
      <w:pPr>
        <w:spacing w:after="0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DB5F2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Наибольшее количество индивидуальных предпринимателей осуществляют предпринимательскую деятельность в торговле – 45,0 %, по виду деятельности </w:t>
      </w:r>
      <w:r w:rsidRPr="00DB5F2E">
        <w:rPr>
          <w:rFonts w:ascii="Times New Roman" w:hAnsi="Times New Roman" w:cs="Times New Roman"/>
          <w:sz w:val="28"/>
          <w:szCs w:val="28"/>
        </w:rPr>
        <w:t>«О</w:t>
      </w:r>
      <w:r w:rsidRPr="00DB5F2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перации с недвижимым имуществом, аренду и предоставление услуг</w:t>
      </w:r>
      <w:r w:rsidRPr="00DB5F2E">
        <w:rPr>
          <w:rFonts w:ascii="Times New Roman" w:eastAsia="Times New Roman" w:hAnsi="Times New Roman" w:cs="Times New Roman"/>
          <w:snapToGrid w:val="0"/>
          <w:sz w:val="28"/>
          <w:szCs w:val="28"/>
        </w:rPr>
        <w:t>»</w:t>
      </w:r>
      <w:r w:rsidRPr="00DB5F2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- </w:t>
      </w:r>
      <w:r w:rsidRPr="00DB5F2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12,6 %, транспорте и связи – 11,6 %, строительстве - 9,3 %, по виду деятельности </w:t>
      </w:r>
      <w:r w:rsidRPr="00DB5F2E">
        <w:rPr>
          <w:rFonts w:ascii="Times New Roman" w:hAnsi="Times New Roman" w:cs="Times New Roman"/>
          <w:sz w:val="28"/>
          <w:szCs w:val="28"/>
        </w:rPr>
        <w:t>«П</w:t>
      </w:r>
      <w:r w:rsidRPr="00DB5F2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редоставление прочих коммунальных, социальных и персональных услуг</w:t>
      </w:r>
      <w:r w:rsidRPr="00DB5F2E">
        <w:rPr>
          <w:rFonts w:ascii="Times New Roman" w:eastAsia="Times New Roman" w:hAnsi="Times New Roman" w:cs="Times New Roman"/>
          <w:snapToGrid w:val="0"/>
          <w:sz w:val="28"/>
          <w:szCs w:val="28"/>
        </w:rPr>
        <w:t>» - 8,0 %</w:t>
      </w:r>
      <w:r w:rsidR="00F84C4D" w:rsidRPr="00DB5F2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DB5F2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и </w:t>
      </w:r>
      <w:r w:rsidR="008A41C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в</w:t>
      </w:r>
      <w:r w:rsidRPr="00DB5F2E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обрабатывающих производствах - 6,0%.</w:t>
      </w:r>
    </w:p>
    <w:p w:rsidR="006C02D6" w:rsidRPr="00DB5F2E" w:rsidRDefault="006C02D6" w:rsidP="006C02D6">
      <w:pPr>
        <w:spacing w:after="60"/>
        <w:ind w:firstLine="720"/>
        <w:rPr>
          <w:rFonts w:ascii="Times New Roman" w:hAnsi="Times New Roman"/>
          <w:sz w:val="28"/>
          <w:szCs w:val="28"/>
        </w:rPr>
      </w:pPr>
      <w:r w:rsidRPr="008A41C6">
        <w:rPr>
          <w:rFonts w:ascii="Times New Roman" w:hAnsi="Times New Roman"/>
          <w:sz w:val="28"/>
          <w:szCs w:val="28"/>
        </w:rPr>
        <w:t>В 2017-2019 годах</w:t>
      </w:r>
      <w:r w:rsidRPr="00DB5F2E">
        <w:rPr>
          <w:rFonts w:ascii="Times New Roman" w:hAnsi="Times New Roman"/>
          <w:sz w:val="28"/>
          <w:szCs w:val="28"/>
        </w:rPr>
        <w:t xml:space="preserve"> прогнозируется увеличение темпов роста малых предприятий (с учетом </w:t>
      </w:r>
      <w:proofErr w:type="spellStart"/>
      <w:r w:rsidRPr="00DB5F2E">
        <w:rPr>
          <w:rFonts w:ascii="Times New Roman" w:hAnsi="Times New Roman"/>
          <w:sz w:val="28"/>
          <w:szCs w:val="28"/>
        </w:rPr>
        <w:t>микропредприятий</w:t>
      </w:r>
      <w:proofErr w:type="spellEnd"/>
      <w:r w:rsidRPr="00DB5F2E">
        <w:rPr>
          <w:rFonts w:ascii="Times New Roman" w:hAnsi="Times New Roman"/>
          <w:sz w:val="28"/>
          <w:szCs w:val="28"/>
        </w:rPr>
        <w:t xml:space="preserve">) </w:t>
      </w:r>
      <w:r w:rsidR="008C6AC5" w:rsidRPr="00DB5F2E">
        <w:rPr>
          <w:rFonts w:ascii="Times New Roman" w:hAnsi="Times New Roman"/>
          <w:sz w:val="28"/>
          <w:szCs w:val="28"/>
        </w:rPr>
        <w:t>на 4,4</w:t>
      </w:r>
      <w:r w:rsidR="00F84C4D" w:rsidRPr="00DB5F2E">
        <w:rPr>
          <w:rFonts w:ascii="Times New Roman" w:hAnsi="Times New Roman"/>
          <w:sz w:val="28"/>
          <w:szCs w:val="28"/>
        </w:rPr>
        <w:t xml:space="preserve"> %, </w:t>
      </w:r>
      <w:r w:rsidR="008C6AC5" w:rsidRPr="00DB5F2E">
        <w:rPr>
          <w:rFonts w:ascii="Times New Roman" w:hAnsi="Times New Roman"/>
          <w:sz w:val="28"/>
          <w:szCs w:val="28"/>
        </w:rPr>
        <w:t xml:space="preserve">субъектов средних, малых предприятий и </w:t>
      </w:r>
      <w:proofErr w:type="spellStart"/>
      <w:r w:rsidR="008C6AC5" w:rsidRPr="00DB5F2E">
        <w:rPr>
          <w:rFonts w:ascii="Times New Roman" w:hAnsi="Times New Roman"/>
          <w:sz w:val="28"/>
          <w:szCs w:val="28"/>
        </w:rPr>
        <w:t>микропредприятий</w:t>
      </w:r>
      <w:proofErr w:type="spellEnd"/>
      <w:r w:rsidR="008C6AC5" w:rsidRPr="00DB5F2E">
        <w:rPr>
          <w:rFonts w:ascii="Times New Roman" w:hAnsi="Times New Roman"/>
          <w:sz w:val="28"/>
          <w:szCs w:val="28"/>
        </w:rPr>
        <w:t xml:space="preserve"> – на 4,8 % по отношению к 2016 году.</w:t>
      </w:r>
    </w:p>
    <w:p w:rsidR="00DE452A" w:rsidRPr="00DE452A" w:rsidRDefault="00DE452A" w:rsidP="00DE452A">
      <w:pPr>
        <w:spacing w:after="6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Ожидается, что </w:t>
      </w:r>
      <w:r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B5F2E">
        <w:rPr>
          <w:rFonts w:ascii="Times New Roman" w:hAnsi="Times New Roman"/>
          <w:sz w:val="28"/>
          <w:szCs w:val="28"/>
        </w:rPr>
        <w:t xml:space="preserve">о варианту 1 Прогноза 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2020 год</w:t>
      </w:r>
      <w:r w:rsidR="00B011AD"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субъектов малого и среднего предпринимательства увеличится до </w:t>
      </w:r>
      <w:r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3 756 </w:t>
      </w:r>
      <w:r w:rsidR="009A4D45"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единиц.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оличество индивидуальных предпринимателей </w:t>
      </w:r>
      <w:r w:rsidRPr="00DB5F2E">
        <w:rPr>
          <w:rFonts w:ascii="Times New Roman" w:hAnsi="Times New Roman"/>
          <w:sz w:val="28"/>
          <w:szCs w:val="28"/>
        </w:rPr>
        <w:t xml:space="preserve">увеличится на 0,5 </w:t>
      </w:r>
      <w:r w:rsidR="009A4D45" w:rsidRPr="00DB5F2E">
        <w:rPr>
          <w:rFonts w:ascii="Times New Roman" w:hAnsi="Times New Roman"/>
          <w:sz w:val="28"/>
          <w:szCs w:val="28"/>
        </w:rPr>
        <w:t>%</w:t>
      </w:r>
      <w:r w:rsidR="002873FB">
        <w:rPr>
          <w:rFonts w:ascii="Times New Roman" w:hAnsi="Times New Roman"/>
          <w:sz w:val="28"/>
          <w:szCs w:val="28"/>
        </w:rPr>
        <w:t>.</w:t>
      </w:r>
      <w:r w:rsidR="009A4D45" w:rsidRPr="00DB5F2E">
        <w:rPr>
          <w:rFonts w:ascii="Times New Roman" w:hAnsi="Times New Roman"/>
          <w:sz w:val="28"/>
          <w:szCs w:val="28"/>
        </w:rPr>
        <w:t xml:space="preserve"> 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вес занятых в малом и среднем предпринимательстве в общей </w:t>
      </w:r>
      <w:r w:rsidR="009A4D45" w:rsidRPr="00275D97">
        <w:rPr>
          <w:rFonts w:ascii="Times New Roman" w:hAnsi="Times New Roman" w:cs="Times New Roman"/>
          <w:sz w:val="28"/>
          <w:szCs w:val="28"/>
          <w:lang w:eastAsia="ru-RU"/>
        </w:rPr>
        <w:t xml:space="preserve">численности </w:t>
      </w:r>
      <w:r w:rsidR="009A4D45" w:rsidRPr="00DB5F2E">
        <w:rPr>
          <w:rFonts w:ascii="Times New Roman" w:hAnsi="Times New Roman" w:cs="Times New Roman"/>
          <w:sz w:val="28"/>
          <w:szCs w:val="28"/>
          <w:lang w:eastAsia="ru-RU"/>
        </w:rPr>
        <w:t xml:space="preserve">работников организаций </w:t>
      </w:r>
      <w:r w:rsidR="009A4D45"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 w:rsidR="009A4D45"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26,5 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Оборот субъектов малого и среднего предпринимательства к 2020 году увеличится по сравнению с 2016 годом на </w:t>
      </w:r>
      <w:r w:rsidR="009A4D45"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2,2 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составит </w:t>
      </w:r>
      <w:r w:rsidR="009A4D45"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>60,7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рублей.</w:t>
      </w:r>
    </w:p>
    <w:p w:rsidR="00B011AD" w:rsidRDefault="00B011AD" w:rsidP="00B011AD">
      <w:pPr>
        <w:spacing w:after="6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F2E">
        <w:rPr>
          <w:rFonts w:ascii="Times New Roman" w:hAnsi="Times New Roman"/>
          <w:sz w:val="28"/>
          <w:szCs w:val="28"/>
        </w:rPr>
        <w:t>По варианту 2 Прогноза</w:t>
      </w:r>
      <w:r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>к 2020 год</w:t>
      </w:r>
      <w:r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субъектов малого и среднего предпринимательства увеличится до </w:t>
      </w:r>
      <w:r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>3 864 единиц.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Удельный вес занятых в малом и среднем предпринимательстве в общей </w:t>
      </w:r>
      <w:r w:rsidRPr="00275D97">
        <w:rPr>
          <w:rFonts w:ascii="Times New Roman" w:hAnsi="Times New Roman" w:cs="Times New Roman"/>
          <w:sz w:val="28"/>
          <w:szCs w:val="28"/>
          <w:lang w:eastAsia="ru-RU"/>
        </w:rPr>
        <w:t xml:space="preserve">численности </w:t>
      </w:r>
      <w:r w:rsidRPr="00DB5F2E">
        <w:rPr>
          <w:rFonts w:ascii="Times New Roman" w:hAnsi="Times New Roman" w:cs="Times New Roman"/>
          <w:sz w:val="28"/>
          <w:szCs w:val="28"/>
          <w:lang w:eastAsia="ru-RU"/>
        </w:rPr>
        <w:t xml:space="preserve">работников организаций </w:t>
      </w:r>
      <w:r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около </w:t>
      </w:r>
      <w:r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26,5 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Оборот субъектов малого и среднего предпринимательства к 2020 году увеличится по сравнению с 2016 годом на </w:t>
      </w:r>
      <w:r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2,4 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составит </w:t>
      </w:r>
      <w:r w:rsidRPr="00DB5F2E">
        <w:rPr>
          <w:rFonts w:ascii="Times New Roman" w:eastAsia="Times New Roman" w:hAnsi="Times New Roman" w:cs="Times New Roman"/>
          <w:sz w:val="28"/>
          <w:szCs w:val="28"/>
          <w:lang w:eastAsia="ru-RU"/>
        </w:rPr>
        <w:t>60,79</w:t>
      </w:r>
      <w:r w:rsidRPr="00DE4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млрд. рублей.</w:t>
      </w:r>
    </w:p>
    <w:p w:rsidR="00A63AFB" w:rsidRPr="00DE452A" w:rsidRDefault="00A63AFB" w:rsidP="00B011AD">
      <w:pPr>
        <w:spacing w:after="6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2D6" w:rsidRDefault="006C02D6" w:rsidP="00A63AFB">
      <w:pPr>
        <w:pStyle w:val="1"/>
      </w:pPr>
      <w:bookmarkStart w:id="42" w:name="_Toc430947245"/>
      <w:bookmarkStart w:id="43" w:name="_Toc465927696"/>
      <w:r w:rsidRPr="00A63AFB">
        <w:t>1</w:t>
      </w:r>
      <w:r w:rsidR="002873FB" w:rsidRPr="00A63AFB">
        <w:t>2</w:t>
      </w:r>
      <w:r w:rsidRPr="00A63AFB">
        <w:t>. Социальная поддержка населения</w:t>
      </w:r>
      <w:bookmarkEnd w:id="42"/>
      <w:bookmarkEnd w:id="43"/>
    </w:p>
    <w:p w:rsidR="00A63AFB" w:rsidRPr="00A63AFB" w:rsidRDefault="00A63AFB" w:rsidP="00A63AFB"/>
    <w:p w:rsidR="006C02D6" w:rsidRPr="00DE0535" w:rsidRDefault="006C02D6" w:rsidP="00C72DD0">
      <w:pPr>
        <w:spacing w:after="0"/>
        <w:rPr>
          <w:rFonts w:ascii="Times New Roman" w:hAnsi="Times New Roman"/>
          <w:sz w:val="28"/>
          <w:szCs w:val="28"/>
        </w:rPr>
      </w:pPr>
      <w:bookmarkStart w:id="44" w:name="_Toc368988894"/>
      <w:r w:rsidRPr="00DE0535">
        <w:rPr>
          <w:rFonts w:ascii="Times New Roman" w:hAnsi="Times New Roman"/>
          <w:sz w:val="28"/>
          <w:szCs w:val="28"/>
        </w:rPr>
        <w:t>Администрация городского округа осуществляет социальную поддержку населения в рамках реализации государственных полномочий, дополненных муниципальными мерами социальной поддержки граждан.</w:t>
      </w:r>
    </w:p>
    <w:p w:rsidR="006C02D6" w:rsidRPr="00DE0535" w:rsidRDefault="006C02D6" w:rsidP="00C72DD0">
      <w:pPr>
        <w:spacing w:after="60"/>
        <w:rPr>
          <w:rFonts w:ascii="Times New Roman" w:hAnsi="Times New Roman"/>
          <w:sz w:val="28"/>
          <w:szCs w:val="28"/>
        </w:rPr>
      </w:pPr>
      <w:proofErr w:type="gramStart"/>
      <w:r w:rsidRPr="00DE0535">
        <w:rPr>
          <w:rFonts w:ascii="Times New Roman" w:hAnsi="Times New Roman"/>
          <w:sz w:val="28"/>
          <w:szCs w:val="28"/>
        </w:rPr>
        <w:t>В целях обеспечения на муниципальном уровне системы адресной социально-экономической поддержки малообеспеченных категорий населения, социальной стабильности и роста возможностей удовлетворения жизненно важных потребностей пожилых людей, инвалидов, малообеспеченных семей с несовершеннолетними детьми и детьми-инвалидами, в городском округе разработана муниципальная адресная система дополнительных мер социальной поддержки отдельных категорий граждан.</w:t>
      </w:r>
      <w:proofErr w:type="gramEnd"/>
      <w:r w:rsidRPr="00DE0535">
        <w:rPr>
          <w:rFonts w:ascii="Times New Roman" w:hAnsi="Times New Roman"/>
          <w:sz w:val="28"/>
          <w:szCs w:val="28"/>
        </w:rPr>
        <w:t xml:space="preserve"> Особое внимание при разработке уделено социально-экономической поддержке семьям с несовершеннолетними детьми и с детьми-инвалидами.</w:t>
      </w:r>
    </w:p>
    <w:p w:rsidR="006C02D6" w:rsidRPr="00DE0535" w:rsidRDefault="006C02D6" w:rsidP="00945293">
      <w:pPr>
        <w:spacing w:after="0"/>
        <w:rPr>
          <w:rFonts w:ascii="Times New Roman" w:hAnsi="Times New Roman"/>
          <w:sz w:val="28"/>
          <w:szCs w:val="28"/>
        </w:rPr>
      </w:pPr>
      <w:r w:rsidRPr="00DE0535">
        <w:rPr>
          <w:rFonts w:ascii="Times New Roman" w:hAnsi="Times New Roman"/>
          <w:sz w:val="28"/>
          <w:szCs w:val="28"/>
        </w:rPr>
        <w:t>Оказание социальной поддержки населению на территории городского округа осуществляется по следующим направлениям:</w:t>
      </w:r>
    </w:p>
    <w:p w:rsidR="006C02D6" w:rsidRPr="00DE0535" w:rsidRDefault="006C02D6" w:rsidP="00945293">
      <w:pPr>
        <w:spacing w:after="0"/>
        <w:rPr>
          <w:rFonts w:ascii="Times New Roman" w:hAnsi="Times New Roman"/>
          <w:sz w:val="28"/>
          <w:szCs w:val="28"/>
        </w:rPr>
      </w:pPr>
      <w:r w:rsidRPr="00DE0535">
        <w:rPr>
          <w:rFonts w:ascii="Times New Roman" w:hAnsi="Times New Roman"/>
          <w:sz w:val="28"/>
          <w:szCs w:val="28"/>
        </w:rPr>
        <w:t>1) реализация государственных полномочий Камчатского края по выплате компенсации части платы, взимаемой с родителей или иных законных представителей за содержание ребенка в федеральных государственных и (или) муниципальных образовательных учреждениях, реализующих основную общеобразовательную программу дошкольного образования;</w:t>
      </w:r>
    </w:p>
    <w:p w:rsidR="006C02D6" w:rsidRPr="00DE0535" w:rsidRDefault="006C02D6" w:rsidP="00945293">
      <w:pPr>
        <w:spacing w:after="0"/>
        <w:rPr>
          <w:rFonts w:ascii="Times New Roman" w:hAnsi="Times New Roman"/>
          <w:sz w:val="28"/>
          <w:szCs w:val="28"/>
        </w:rPr>
      </w:pPr>
      <w:r w:rsidRPr="00DE0535">
        <w:rPr>
          <w:rFonts w:ascii="Times New Roman" w:hAnsi="Times New Roman"/>
          <w:sz w:val="28"/>
          <w:szCs w:val="28"/>
        </w:rPr>
        <w:lastRenderedPageBreak/>
        <w:t xml:space="preserve">2) назначение и выплата ежемесячных доплат к пенсии лицам, замещавшим муниципальные должности в </w:t>
      </w:r>
      <w:proofErr w:type="gramStart"/>
      <w:r w:rsidRPr="00DE0535">
        <w:rPr>
          <w:rFonts w:ascii="Times New Roman" w:hAnsi="Times New Roman"/>
          <w:sz w:val="28"/>
          <w:szCs w:val="28"/>
        </w:rPr>
        <w:t>Петропавловск-Камчатском</w:t>
      </w:r>
      <w:proofErr w:type="gramEnd"/>
      <w:r w:rsidRPr="00DE0535">
        <w:rPr>
          <w:rFonts w:ascii="Times New Roman" w:hAnsi="Times New Roman"/>
          <w:sz w:val="28"/>
          <w:szCs w:val="28"/>
        </w:rPr>
        <w:t xml:space="preserve"> городском округе, и пенсии за выслугу лет лицам, замещавшим должности муниципальной службы в Петропавловск-Камчатском городском округе;</w:t>
      </w:r>
    </w:p>
    <w:p w:rsidR="006C02D6" w:rsidRPr="00DE0535" w:rsidRDefault="006C02D6" w:rsidP="00945293">
      <w:pPr>
        <w:spacing w:after="0"/>
        <w:rPr>
          <w:rFonts w:ascii="Times New Roman" w:hAnsi="Times New Roman"/>
          <w:sz w:val="28"/>
          <w:szCs w:val="28"/>
        </w:rPr>
      </w:pPr>
      <w:r w:rsidRPr="00DE0535">
        <w:rPr>
          <w:rFonts w:ascii="Times New Roman" w:hAnsi="Times New Roman"/>
          <w:sz w:val="28"/>
          <w:szCs w:val="28"/>
        </w:rPr>
        <w:t xml:space="preserve">3) предоставление мер социальной поддержки отдельным категориям граждан в соответствии с Решениями Городской Думы </w:t>
      </w:r>
      <w:proofErr w:type="gramStart"/>
      <w:r w:rsidRPr="00DE0535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DE0535">
        <w:rPr>
          <w:rFonts w:ascii="Times New Roman" w:hAnsi="Times New Roman"/>
          <w:sz w:val="28"/>
          <w:szCs w:val="28"/>
        </w:rPr>
        <w:t xml:space="preserve"> городского округа;</w:t>
      </w:r>
    </w:p>
    <w:p w:rsidR="006C02D6" w:rsidRPr="00DE0535" w:rsidRDefault="006C02D6" w:rsidP="00945293">
      <w:pPr>
        <w:spacing w:after="0"/>
        <w:rPr>
          <w:rFonts w:ascii="Times New Roman" w:hAnsi="Times New Roman"/>
          <w:sz w:val="28"/>
          <w:szCs w:val="28"/>
        </w:rPr>
      </w:pPr>
      <w:r w:rsidRPr="00DE0535">
        <w:rPr>
          <w:rFonts w:ascii="Times New Roman" w:hAnsi="Times New Roman"/>
          <w:sz w:val="28"/>
          <w:szCs w:val="28"/>
        </w:rPr>
        <w:t>4) предоставление субсидий специализированной службе по вопросам похоронного дела в целях возмещения недополученных доходов и (или) финансового обеспечения (возмещения) затрат в связи с организацией погребения умершего и оказания услуг по погребению;</w:t>
      </w:r>
    </w:p>
    <w:p w:rsidR="006C02D6" w:rsidRPr="00DE0535" w:rsidRDefault="006C02D6" w:rsidP="00945293">
      <w:pPr>
        <w:spacing w:after="0"/>
        <w:rPr>
          <w:rFonts w:ascii="Times New Roman" w:hAnsi="Times New Roman"/>
          <w:sz w:val="28"/>
          <w:szCs w:val="28"/>
        </w:rPr>
      </w:pPr>
      <w:r w:rsidRPr="00DE0535">
        <w:rPr>
          <w:rFonts w:ascii="Times New Roman" w:hAnsi="Times New Roman"/>
          <w:sz w:val="28"/>
          <w:szCs w:val="28"/>
        </w:rPr>
        <w:t>5) участие в организации и проведении социально-значимых мероприятий;</w:t>
      </w:r>
    </w:p>
    <w:p w:rsidR="006C02D6" w:rsidRPr="00DE0535" w:rsidRDefault="006C02D6" w:rsidP="00945293">
      <w:pPr>
        <w:spacing w:after="0"/>
        <w:rPr>
          <w:rFonts w:ascii="Times New Roman" w:hAnsi="Times New Roman"/>
          <w:sz w:val="28"/>
          <w:szCs w:val="28"/>
        </w:rPr>
      </w:pPr>
      <w:r w:rsidRPr="00DE0535">
        <w:rPr>
          <w:rFonts w:ascii="Times New Roman" w:hAnsi="Times New Roman"/>
          <w:sz w:val="28"/>
          <w:szCs w:val="28"/>
        </w:rPr>
        <w:t>6) реализация отдельных государственных полномочий Камчатского края по социальному обслуживанию граждан в Камчатском крае;</w:t>
      </w:r>
    </w:p>
    <w:p w:rsidR="006C02D6" w:rsidRPr="00DE0535" w:rsidRDefault="006C02D6" w:rsidP="00945293">
      <w:pPr>
        <w:tabs>
          <w:tab w:val="left" w:pos="459"/>
        </w:tabs>
        <w:spacing w:after="0"/>
        <w:rPr>
          <w:rFonts w:ascii="Times New Roman" w:hAnsi="Times New Roman"/>
          <w:sz w:val="28"/>
          <w:szCs w:val="28"/>
        </w:rPr>
      </w:pPr>
      <w:r w:rsidRPr="00DE0535">
        <w:rPr>
          <w:rFonts w:ascii="Times New Roman" w:hAnsi="Times New Roman"/>
          <w:sz w:val="28"/>
          <w:szCs w:val="28"/>
        </w:rPr>
        <w:t>7) реализация отдельных государственных полномочий Камчатского края по предоставлению мер социальной поддержки отдельным категориям граждан в период получения ими образования в государственных и муниципальных образовательных организациях в Камчатском крае.</w:t>
      </w:r>
    </w:p>
    <w:p w:rsidR="006C02D6" w:rsidRPr="00DE0535" w:rsidRDefault="006C02D6" w:rsidP="00945293">
      <w:pPr>
        <w:tabs>
          <w:tab w:val="left" w:pos="459"/>
        </w:tabs>
        <w:spacing w:after="0"/>
        <w:rPr>
          <w:rFonts w:ascii="Times New Roman" w:hAnsi="Times New Roman"/>
          <w:sz w:val="28"/>
          <w:szCs w:val="28"/>
        </w:rPr>
      </w:pPr>
      <w:r w:rsidRPr="00DE0535">
        <w:rPr>
          <w:rFonts w:ascii="Times New Roman" w:hAnsi="Times New Roman"/>
          <w:sz w:val="28"/>
          <w:szCs w:val="28"/>
        </w:rPr>
        <w:t xml:space="preserve">В среднесрочной перспективе администрация </w:t>
      </w:r>
      <w:proofErr w:type="gramStart"/>
      <w:r w:rsidRPr="00DE0535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DE0535">
        <w:rPr>
          <w:rFonts w:ascii="Times New Roman" w:hAnsi="Times New Roman"/>
          <w:sz w:val="28"/>
          <w:szCs w:val="28"/>
        </w:rPr>
        <w:t xml:space="preserve"> городского округа продолжит развивать систему муниципальной социальной поддержки с целью повышения качества жизни граждан, оказавшихся в трудной жизненной ситуации</w:t>
      </w:r>
      <w:r>
        <w:rPr>
          <w:rFonts w:ascii="Times New Roman" w:hAnsi="Times New Roman"/>
          <w:sz w:val="28"/>
          <w:szCs w:val="28"/>
        </w:rPr>
        <w:t>.</w:t>
      </w:r>
    </w:p>
    <w:p w:rsidR="006C02D6" w:rsidRPr="000060BA" w:rsidRDefault="006C02D6" w:rsidP="00945293">
      <w:pPr>
        <w:spacing w:after="0"/>
        <w:rPr>
          <w:rFonts w:ascii="Times New Roman" w:hAnsi="Times New Roman"/>
          <w:sz w:val="28"/>
          <w:szCs w:val="28"/>
          <w:highlight w:val="yellow"/>
        </w:rPr>
      </w:pPr>
      <w:r w:rsidRPr="00DE0535">
        <w:rPr>
          <w:rFonts w:ascii="Times New Roman" w:hAnsi="Times New Roman"/>
          <w:sz w:val="28"/>
          <w:szCs w:val="28"/>
        </w:rPr>
        <w:t>За счёт средств бюджета городского округа в 201</w:t>
      </w:r>
      <w:r>
        <w:rPr>
          <w:rFonts w:ascii="Times New Roman" w:hAnsi="Times New Roman"/>
          <w:sz w:val="28"/>
          <w:szCs w:val="28"/>
        </w:rPr>
        <w:t>7</w:t>
      </w:r>
      <w:r w:rsidRPr="00DE0535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DE0535">
        <w:rPr>
          <w:rFonts w:ascii="Times New Roman" w:hAnsi="Times New Roman"/>
          <w:sz w:val="28"/>
          <w:szCs w:val="28"/>
        </w:rPr>
        <w:t xml:space="preserve"> годах планируется предоставить следующие меры муниципальной социальной поддержки:</w:t>
      </w:r>
    </w:p>
    <w:p w:rsidR="006C02D6" w:rsidRPr="00E81EE1" w:rsidRDefault="006C02D6" w:rsidP="00945293">
      <w:pPr>
        <w:spacing w:after="0"/>
        <w:rPr>
          <w:rFonts w:ascii="Times New Roman" w:hAnsi="Times New Roman"/>
          <w:sz w:val="28"/>
          <w:szCs w:val="28"/>
        </w:rPr>
      </w:pPr>
      <w:r w:rsidRPr="00E81EE1">
        <w:rPr>
          <w:rFonts w:ascii="Times New Roman" w:hAnsi="Times New Roman"/>
          <w:sz w:val="28"/>
          <w:szCs w:val="28"/>
        </w:rPr>
        <w:t xml:space="preserve">- меры муниципальной социальной поддержки в соответствии с Решением Городской Думы </w:t>
      </w:r>
      <w:proofErr w:type="gramStart"/>
      <w:r w:rsidRPr="00E81EE1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E81EE1">
        <w:rPr>
          <w:rFonts w:ascii="Times New Roman" w:hAnsi="Times New Roman"/>
          <w:sz w:val="28"/>
          <w:szCs w:val="28"/>
        </w:rPr>
        <w:t xml:space="preserve"> городского округа от 03.09.2009 № 157-нд «О мерах муниципальной социальной поддержки отдельным категориям граждан, проживающим на территории Петропавловск-Камчатского городского округа».</w:t>
      </w:r>
    </w:p>
    <w:p w:rsidR="006C02D6" w:rsidRDefault="006C02D6" w:rsidP="00945293">
      <w:pPr>
        <w:spacing w:after="0"/>
        <w:rPr>
          <w:rFonts w:ascii="Times New Roman" w:hAnsi="Times New Roman"/>
          <w:sz w:val="28"/>
          <w:szCs w:val="28"/>
        </w:rPr>
      </w:pPr>
      <w:r w:rsidRPr="00CD595E">
        <w:rPr>
          <w:rFonts w:ascii="Times New Roman" w:hAnsi="Times New Roman"/>
          <w:sz w:val="28"/>
          <w:szCs w:val="28"/>
        </w:rPr>
        <w:t>Объем предоставленных мер социальной поддержки отдельным категориям граждан в 201</w:t>
      </w:r>
      <w:r>
        <w:rPr>
          <w:rFonts w:ascii="Times New Roman" w:hAnsi="Times New Roman"/>
          <w:sz w:val="28"/>
          <w:szCs w:val="28"/>
        </w:rPr>
        <w:t>5</w:t>
      </w:r>
      <w:r w:rsidRPr="00CD595E">
        <w:rPr>
          <w:rFonts w:ascii="Times New Roman" w:hAnsi="Times New Roman"/>
          <w:sz w:val="28"/>
          <w:szCs w:val="28"/>
        </w:rPr>
        <w:t xml:space="preserve"> году составил </w:t>
      </w:r>
      <w:r>
        <w:rPr>
          <w:rFonts w:ascii="Times New Roman" w:hAnsi="Times New Roman"/>
          <w:sz w:val="28"/>
          <w:szCs w:val="28"/>
        </w:rPr>
        <w:t>30 756,4</w:t>
      </w:r>
      <w:r w:rsidRPr="00CD595E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>рублей. По оценке на 201</w:t>
      </w:r>
      <w:r>
        <w:rPr>
          <w:rFonts w:ascii="Times New Roman" w:hAnsi="Times New Roman"/>
          <w:sz w:val="28"/>
          <w:szCs w:val="28"/>
        </w:rPr>
        <w:t>6</w:t>
      </w:r>
      <w:r w:rsidRPr="00CD595E">
        <w:rPr>
          <w:rFonts w:ascii="Times New Roman" w:hAnsi="Times New Roman"/>
          <w:sz w:val="28"/>
          <w:szCs w:val="28"/>
        </w:rPr>
        <w:t xml:space="preserve"> год объем предоставленных мер составит не менее </w:t>
      </w:r>
      <w:r>
        <w:rPr>
          <w:rFonts w:ascii="Times New Roman" w:hAnsi="Times New Roman"/>
          <w:sz w:val="28"/>
          <w:szCs w:val="28"/>
        </w:rPr>
        <w:t xml:space="preserve">43 427,9 </w:t>
      </w:r>
      <w:r w:rsidRPr="00CD595E">
        <w:rPr>
          <w:rFonts w:ascii="Times New Roman" w:hAnsi="Times New Roman"/>
          <w:sz w:val="28"/>
          <w:szCs w:val="28"/>
        </w:rPr>
        <w:t>тыс. рублей. По прогнозу на 201</w:t>
      </w:r>
      <w:r>
        <w:rPr>
          <w:rFonts w:ascii="Times New Roman" w:hAnsi="Times New Roman"/>
          <w:sz w:val="28"/>
          <w:szCs w:val="28"/>
        </w:rPr>
        <w:t>7</w:t>
      </w:r>
      <w:r w:rsidRPr="00CD595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CD595E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>увеличения ассигнований не планируется.</w:t>
      </w:r>
    </w:p>
    <w:tbl>
      <w:tblPr>
        <w:tblW w:w="4891" w:type="pct"/>
        <w:tblInd w:w="108" w:type="dxa"/>
        <w:tblLook w:val="0000" w:firstRow="0" w:lastRow="0" w:firstColumn="0" w:lastColumn="0" w:noHBand="0" w:noVBand="0"/>
      </w:tblPr>
      <w:tblGrid>
        <w:gridCol w:w="4413"/>
        <w:gridCol w:w="5226"/>
      </w:tblGrid>
      <w:tr w:rsidR="006C02D6" w:rsidRPr="002E272A" w:rsidTr="006C02D6">
        <w:trPr>
          <w:trHeight w:val="377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6C02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6C02D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Меры социальной поддержки</w:t>
            </w: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 xml:space="preserve"> (руб.)</w:t>
            </w:r>
          </w:p>
        </w:tc>
      </w:tr>
      <w:tr w:rsidR="006C02D6" w:rsidRPr="002E272A" w:rsidTr="006C02D6">
        <w:trPr>
          <w:trHeight w:val="317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30 756 403,50</w:t>
            </w:r>
          </w:p>
        </w:tc>
      </w:tr>
      <w:tr w:rsidR="006C02D6" w:rsidRPr="002E272A" w:rsidTr="006C02D6">
        <w:trPr>
          <w:trHeight w:val="317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мес. 2016 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13 515 705,87</w:t>
            </w:r>
          </w:p>
        </w:tc>
      </w:tr>
      <w:tr w:rsidR="006C02D6" w:rsidRPr="002E272A" w:rsidTr="006C02D6">
        <w:trPr>
          <w:trHeight w:val="317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2016 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43 427 926,00</w:t>
            </w:r>
          </w:p>
        </w:tc>
      </w:tr>
      <w:tr w:rsidR="006C02D6" w:rsidRPr="002E272A" w:rsidTr="006C02D6">
        <w:trPr>
          <w:trHeight w:val="317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36 435 554,00</w:t>
            </w:r>
          </w:p>
        </w:tc>
      </w:tr>
      <w:tr w:rsidR="006C02D6" w:rsidRPr="002E272A" w:rsidTr="006C02D6">
        <w:trPr>
          <w:trHeight w:val="317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6C9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36 435 554,00</w:t>
            </w:r>
          </w:p>
        </w:tc>
      </w:tr>
      <w:tr w:rsidR="006C02D6" w:rsidRPr="002E272A" w:rsidTr="006C02D6">
        <w:trPr>
          <w:trHeight w:val="317"/>
        </w:trPr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36 435 554,00</w:t>
            </w:r>
          </w:p>
        </w:tc>
      </w:tr>
    </w:tbl>
    <w:p w:rsidR="00945293" w:rsidRDefault="00945293" w:rsidP="00C72DD0">
      <w:pPr>
        <w:spacing w:after="60"/>
        <w:rPr>
          <w:rFonts w:ascii="Times New Roman" w:hAnsi="Times New Roman"/>
          <w:sz w:val="28"/>
          <w:szCs w:val="28"/>
        </w:rPr>
      </w:pPr>
    </w:p>
    <w:p w:rsidR="006C02D6" w:rsidRPr="00A56D8A" w:rsidRDefault="006C02D6" w:rsidP="00945293">
      <w:pPr>
        <w:spacing w:after="0"/>
        <w:rPr>
          <w:rFonts w:ascii="Times New Roman" w:hAnsi="Times New Roman"/>
          <w:sz w:val="28"/>
          <w:szCs w:val="28"/>
        </w:rPr>
      </w:pPr>
      <w:r w:rsidRPr="00A56D8A">
        <w:rPr>
          <w:rFonts w:ascii="Times New Roman" w:hAnsi="Times New Roman"/>
          <w:sz w:val="28"/>
          <w:szCs w:val="28"/>
        </w:rPr>
        <w:t xml:space="preserve">- меры муниципальной социальной поддержки в соответствии с Решением Городской Думы </w:t>
      </w:r>
      <w:proofErr w:type="gramStart"/>
      <w:r w:rsidRPr="00A56D8A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A56D8A">
        <w:rPr>
          <w:rFonts w:ascii="Times New Roman" w:hAnsi="Times New Roman"/>
          <w:sz w:val="28"/>
          <w:szCs w:val="28"/>
        </w:rPr>
        <w:t xml:space="preserve"> городского округа от 06.05.2013 № 56-нд «О мерах муниципальной социальной поддержки граждан при оплате жилого помещения и коммунальных услуг на территории Петропавловск-Камчатского городского округа». Объем предоставленных мер </w:t>
      </w:r>
      <w:r w:rsidRPr="00A56D8A">
        <w:rPr>
          <w:rFonts w:ascii="Times New Roman" w:hAnsi="Times New Roman"/>
          <w:sz w:val="28"/>
          <w:szCs w:val="28"/>
        </w:rPr>
        <w:lastRenderedPageBreak/>
        <w:t xml:space="preserve">по оплате жилого помещения и коммунальных услуг (далее – ЖКУ) в 2015 году составил 62 125,634 тыс. рублей. </w:t>
      </w:r>
    </w:p>
    <w:p w:rsidR="006C02D6" w:rsidRPr="00EE4DB9" w:rsidRDefault="006C02D6" w:rsidP="00945293">
      <w:pPr>
        <w:spacing w:after="0"/>
        <w:rPr>
          <w:rFonts w:ascii="Times New Roman" w:hAnsi="Times New Roman"/>
          <w:sz w:val="28"/>
          <w:szCs w:val="28"/>
        </w:rPr>
      </w:pPr>
      <w:r w:rsidRPr="00EE4DB9">
        <w:rPr>
          <w:rFonts w:ascii="Times New Roman" w:hAnsi="Times New Roman"/>
          <w:sz w:val="28"/>
          <w:szCs w:val="28"/>
        </w:rPr>
        <w:t>По оценке в 2016 году объем предоставленных мер по оплате ЖКУ составит 92 751,350 тыс. рублей. На период 2017-2019 годов не запланировано увеличение числа получателей поддержки в связи с повышением уровня доходов населения.</w:t>
      </w:r>
    </w:p>
    <w:tbl>
      <w:tblPr>
        <w:tblW w:w="4891" w:type="pct"/>
        <w:tblInd w:w="108" w:type="dxa"/>
        <w:tblLook w:val="0000" w:firstRow="0" w:lastRow="0" w:firstColumn="0" w:lastColumn="0" w:noHBand="0" w:noVBand="0"/>
      </w:tblPr>
      <w:tblGrid>
        <w:gridCol w:w="1932"/>
        <w:gridCol w:w="3252"/>
        <w:gridCol w:w="4455"/>
      </w:tblGrid>
      <w:tr w:rsidR="006C02D6" w:rsidRPr="00EE4DB9" w:rsidTr="006C02D6">
        <w:trPr>
          <w:trHeight w:val="699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4DB9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4DB9">
              <w:rPr>
                <w:rFonts w:ascii="Times New Roman" w:hAnsi="Times New Roman"/>
                <w:b/>
                <w:sz w:val="24"/>
                <w:szCs w:val="24"/>
              </w:rPr>
              <w:t>Количество получателей</w:t>
            </w:r>
          </w:p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4DB9">
              <w:rPr>
                <w:rFonts w:ascii="Times New Roman" w:hAnsi="Times New Roman"/>
                <w:b/>
                <w:sz w:val="24"/>
                <w:szCs w:val="24"/>
              </w:rPr>
              <w:t>(чел.)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4DB9">
              <w:rPr>
                <w:rFonts w:ascii="Times New Roman" w:hAnsi="Times New Roman"/>
                <w:b/>
                <w:sz w:val="24"/>
                <w:szCs w:val="24"/>
              </w:rPr>
              <w:t>Меры социальной поддержки (руб.)</w:t>
            </w:r>
          </w:p>
        </w:tc>
      </w:tr>
      <w:tr w:rsidR="006C02D6" w:rsidRPr="00EE4DB9" w:rsidTr="006C02D6">
        <w:trPr>
          <w:trHeight w:val="317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DB9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DB9">
              <w:rPr>
                <w:rFonts w:ascii="Times New Roman" w:hAnsi="Times New Roman"/>
                <w:sz w:val="24"/>
                <w:szCs w:val="24"/>
              </w:rPr>
              <w:t>3 082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DB9">
              <w:rPr>
                <w:rFonts w:ascii="Times New Roman" w:hAnsi="Times New Roman"/>
                <w:sz w:val="24"/>
                <w:szCs w:val="24"/>
              </w:rPr>
              <w:t>62 125 633,94</w:t>
            </w:r>
          </w:p>
        </w:tc>
      </w:tr>
      <w:tr w:rsidR="006C02D6" w:rsidRPr="00EE4DB9" w:rsidTr="006C02D6">
        <w:trPr>
          <w:trHeight w:val="317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945293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E4DB9">
              <w:rPr>
                <w:rFonts w:ascii="Times New Roman" w:hAnsi="Times New Roman"/>
                <w:sz w:val="24"/>
                <w:szCs w:val="24"/>
              </w:rPr>
              <w:t>6 мес. 2016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DB9">
              <w:rPr>
                <w:rFonts w:ascii="Times New Roman" w:hAnsi="Times New Roman"/>
                <w:sz w:val="24"/>
                <w:szCs w:val="24"/>
              </w:rPr>
              <w:t>4 975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DB9">
              <w:rPr>
                <w:rFonts w:ascii="Times New Roman" w:hAnsi="Times New Roman"/>
                <w:sz w:val="24"/>
                <w:szCs w:val="24"/>
              </w:rPr>
              <w:t>82 235 000,00</w:t>
            </w:r>
          </w:p>
        </w:tc>
      </w:tr>
      <w:tr w:rsidR="006C02D6" w:rsidRPr="00EE4DB9" w:rsidTr="006C02D6">
        <w:trPr>
          <w:trHeight w:val="317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945293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E4DB9">
              <w:rPr>
                <w:rFonts w:ascii="Times New Roman" w:hAnsi="Times New Roman"/>
                <w:sz w:val="24"/>
                <w:szCs w:val="24"/>
              </w:rPr>
              <w:t>Оценка 2016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DB9">
              <w:rPr>
                <w:rFonts w:ascii="Times New Roman" w:hAnsi="Times New Roman"/>
                <w:sz w:val="24"/>
                <w:szCs w:val="24"/>
              </w:rPr>
              <w:t>4 975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DB9">
              <w:rPr>
                <w:rFonts w:ascii="Times New Roman" w:hAnsi="Times New Roman"/>
                <w:sz w:val="24"/>
                <w:szCs w:val="24"/>
              </w:rPr>
              <w:t>92 751 350,00</w:t>
            </w:r>
          </w:p>
        </w:tc>
      </w:tr>
      <w:tr w:rsidR="006C02D6" w:rsidRPr="00EE4DB9" w:rsidTr="006C02D6">
        <w:trPr>
          <w:trHeight w:val="317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DB9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</w:pPr>
            <w:r w:rsidRPr="00EE4DB9">
              <w:rPr>
                <w:rFonts w:ascii="Times New Roman" w:hAnsi="Times New Roman"/>
                <w:sz w:val="24"/>
                <w:szCs w:val="24"/>
              </w:rPr>
              <w:t>4 975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</w:pPr>
            <w:r w:rsidRPr="00EE4DB9">
              <w:rPr>
                <w:rFonts w:ascii="Times New Roman" w:hAnsi="Times New Roman"/>
                <w:sz w:val="24"/>
                <w:szCs w:val="24"/>
              </w:rPr>
              <w:t>92 751 350,00</w:t>
            </w:r>
          </w:p>
        </w:tc>
      </w:tr>
      <w:tr w:rsidR="006C02D6" w:rsidRPr="00EE4DB9" w:rsidTr="006C02D6">
        <w:trPr>
          <w:trHeight w:val="317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DB9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</w:pPr>
            <w:r w:rsidRPr="00EE4DB9">
              <w:rPr>
                <w:rFonts w:ascii="Times New Roman" w:hAnsi="Times New Roman"/>
                <w:sz w:val="24"/>
                <w:szCs w:val="24"/>
              </w:rPr>
              <w:t>4 975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</w:pPr>
            <w:r w:rsidRPr="00EE4DB9">
              <w:rPr>
                <w:rFonts w:ascii="Times New Roman" w:hAnsi="Times New Roman"/>
                <w:sz w:val="24"/>
                <w:szCs w:val="24"/>
              </w:rPr>
              <w:t>92 751 350,00</w:t>
            </w:r>
          </w:p>
        </w:tc>
      </w:tr>
      <w:tr w:rsidR="006C02D6" w:rsidRPr="000060BA" w:rsidTr="006C02D6">
        <w:trPr>
          <w:trHeight w:val="317"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DB9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E4DB9" w:rsidRDefault="006C02D6" w:rsidP="00C72DD0">
            <w:pPr>
              <w:spacing w:after="0"/>
              <w:jc w:val="center"/>
            </w:pPr>
            <w:r w:rsidRPr="00EE4DB9">
              <w:rPr>
                <w:rFonts w:ascii="Times New Roman" w:hAnsi="Times New Roman"/>
                <w:sz w:val="24"/>
                <w:szCs w:val="24"/>
              </w:rPr>
              <w:t>4 975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</w:pPr>
            <w:r w:rsidRPr="00EE4DB9">
              <w:rPr>
                <w:rFonts w:ascii="Times New Roman" w:hAnsi="Times New Roman"/>
                <w:sz w:val="24"/>
                <w:szCs w:val="24"/>
              </w:rPr>
              <w:t>92 751 350,00</w:t>
            </w:r>
          </w:p>
        </w:tc>
      </w:tr>
    </w:tbl>
    <w:p w:rsidR="00764E8E" w:rsidRDefault="00764E8E" w:rsidP="00C72DD0">
      <w:pPr>
        <w:spacing w:after="60"/>
        <w:rPr>
          <w:rFonts w:ascii="Times New Roman" w:hAnsi="Times New Roman"/>
          <w:sz w:val="28"/>
          <w:szCs w:val="28"/>
        </w:rPr>
      </w:pPr>
    </w:p>
    <w:p w:rsidR="006C02D6" w:rsidRDefault="006C02D6" w:rsidP="00C72DD0">
      <w:pPr>
        <w:spacing w:after="60"/>
        <w:rPr>
          <w:rFonts w:ascii="Times New Roman" w:hAnsi="Times New Roman"/>
          <w:sz w:val="28"/>
          <w:szCs w:val="28"/>
        </w:rPr>
      </w:pPr>
      <w:r w:rsidRPr="00E81EE1">
        <w:rPr>
          <w:rFonts w:ascii="Times New Roman" w:hAnsi="Times New Roman"/>
          <w:sz w:val="28"/>
          <w:szCs w:val="28"/>
        </w:rPr>
        <w:t xml:space="preserve">- меры муниципальной социальной поддержки в соответствии с Решением Городской Думы </w:t>
      </w:r>
      <w:proofErr w:type="gramStart"/>
      <w:r w:rsidRPr="00E81EE1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E81EE1">
        <w:rPr>
          <w:rFonts w:ascii="Times New Roman" w:hAnsi="Times New Roman"/>
          <w:sz w:val="28"/>
          <w:szCs w:val="28"/>
        </w:rPr>
        <w:t xml:space="preserve"> городского округа от 25.12.2008 № 87-нд «О мерах муниципальной социальной поддержки отдельным категориям граждан на ремонт жилых помещений в Петропавловск-Камчатском городском округе</w:t>
      </w:r>
      <w:r>
        <w:rPr>
          <w:rFonts w:ascii="Times New Roman" w:hAnsi="Times New Roman"/>
          <w:sz w:val="28"/>
          <w:szCs w:val="28"/>
        </w:rPr>
        <w:t>».</w:t>
      </w:r>
      <w:r w:rsidRPr="00E81EE1">
        <w:rPr>
          <w:rFonts w:ascii="Times New Roman" w:hAnsi="Times New Roman"/>
          <w:sz w:val="28"/>
          <w:szCs w:val="28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 xml:space="preserve">Объем предоставленных мер </w:t>
      </w:r>
      <w:r>
        <w:rPr>
          <w:rFonts w:ascii="Times New Roman" w:hAnsi="Times New Roman"/>
          <w:sz w:val="28"/>
          <w:szCs w:val="28"/>
        </w:rPr>
        <w:t>на ремонт жилых помещений</w:t>
      </w:r>
      <w:r w:rsidRPr="00CD59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5</w:t>
      </w:r>
      <w:r w:rsidRPr="00CD595E">
        <w:rPr>
          <w:rFonts w:ascii="Times New Roman" w:hAnsi="Times New Roman"/>
          <w:sz w:val="28"/>
          <w:szCs w:val="28"/>
        </w:rPr>
        <w:t xml:space="preserve"> году составил </w:t>
      </w:r>
      <w:r>
        <w:rPr>
          <w:rFonts w:ascii="Times New Roman" w:hAnsi="Times New Roman"/>
          <w:sz w:val="28"/>
          <w:szCs w:val="28"/>
        </w:rPr>
        <w:t>4 500,00</w:t>
      </w:r>
      <w:r w:rsidRPr="00CD595E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CD595E">
        <w:rPr>
          <w:rFonts w:ascii="Times New Roman" w:hAnsi="Times New Roman"/>
          <w:sz w:val="28"/>
          <w:szCs w:val="28"/>
        </w:rPr>
        <w:t>. По оценке на 201</w:t>
      </w:r>
      <w:r>
        <w:rPr>
          <w:rFonts w:ascii="Times New Roman" w:hAnsi="Times New Roman"/>
          <w:sz w:val="28"/>
          <w:szCs w:val="28"/>
        </w:rPr>
        <w:t>6</w:t>
      </w:r>
      <w:r w:rsidRPr="00CD595E">
        <w:rPr>
          <w:rFonts w:ascii="Times New Roman" w:hAnsi="Times New Roman"/>
          <w:sz w:val="28"/>
          <w:szCs w:val="28"/>
        </w:rPr>
        <w:t xml:space="preserve"> год объем предоставленных мер составит </w:t>
      </w:r>
      <w:r>
        <w:rPr>
          <w:rFonts w:ascii="Times New Roman" w:hAnsi="Times New Roman"/>
          <w:sz w:val="28"/>
          <w:szCs w:val="28"/>
        </w:rPr>
        <w:t xml:space="preserve">6 000,00 </w:t>
      </w:r>
      <w:r w:rsidRPr="00CD595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>рублей. По прогнозу на 201</w:t>
      </w:r>
      <w:r>
        <w:rPr>
          <w:rFonts w:ascii="Times New Roman" w:hAnsi="Times New Roman"/>
          <w:sz w:val="28"/>
          <w:szCs w:val="28"/>
        </w:rPr>
        <w:t>7</w:t>
      </w:r>
      <w:r w:rsidRPr="00CD59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CD595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CD595E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 xml:space="preserve">увеличение ассигнований планируется за счет увеличения численности получателей. 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609"/>
        <w:gridCol w:w="4688"/>
        <w:gridCol w:w="3342"/>
      </w:tblGrid>
      <w:tr w:rsidR="006C02D6" w:rsidRPr="002E272A" w:rsidTr="006C02D6">
        <w:trPr>
          <w:trHeight w:val="620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получателей</w:t>
            </w:r>
          </w:p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(чел.)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Меры социальной поддержки</w:t>
            </w: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 xml:space="preserve"> (руб.)</w:t>
            </w:r>
          </w:p>
        </w:tc>
      </w:tr>
      <w:tr w:rsidR="006C02D6" w:rsidRPr="002E272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4 500 000,00</w:t>
            </w:r>
          </w:p>
        </w:tc>
      </w:tr>
      <w:tr w:rsidR="006C02D6" w:rsidRPr="002E272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945293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мес. 2016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2 700 000, 00</w:t>
            </w:r>
          </w:p>
        </w:tc>
      </w:tr>
      <w:tr w:rsidR="006C02D6" w:rsidRPr="002E272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945293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2016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6 000 000, 00</w:t>
            </w:r>
          </w:p>
        </w:tc>
      </w:tr>
      <w:tr w:rsidR="006C02D6" w:rsidRPr="002E272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16 500 000,00</w:t>
            </w:r>
          </w:p>
        </w:tc>
      </w:tr>
      <w:tr w:rsidR="006C02D6" w:rsidRPr="002E272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6C9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EA14A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4A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4 500 000,00</w:t>
            </w:r>
          </w:p>
        </w:tc>
      </w:tr>
      <w:tr w:rsidR="006C02D6" w:rsidRPr="002E272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4 500 000,00</w:t>
            </w:r>
          </w:p>
        </w:tc>
      </w:tr>
    </w:tbl>
    <w:p w:rsidR="00764E8E" w:rsidRDefault="00764E8E" w:rsidP="00C72DD0">
      <w:pPr>
        <w:spacing w:after="0"/>
        <w:rPr>
          <w:rFonts w:ascii="Times New Roman" w:hAnsi="Times New Roman"/>
          <w:sz w:val="28"/>
          <w:szCs w:val="28"/>
        </w:rPr>
      </w:pPr>
    </w:p>
    <w:p w:rsidR="006C02D6" w:rsidRPr="000060BA" w:rsidRDefault="006C02D6" w:rsidP="00C72DD0">
      <w:pPr>
        <w:spacing w:after="0"/>
        <w:rPr>
          <w:rFonts w:ascii="Times New Roman" w:hAnsi="Times New Roman"/>
          <w:sz w:val="28"/>
          <w:szCs w:val="28"/>
          <w:highlight w:val="yellow"/>
        </w:rPr>
      </w:pPr>
      <w:proofErr w:type="gramStart"/>
      <w:r w:rsidRPr="00B43BEF">
        <w:rPr>
          <w:rFonts w:ascii="Times New Roman" w:hAnsi="Times New Roman"/>
          <w:sz w:val="28"/>
          <w:szCs w:val="28"/>
        </w:rPr>
        <w:t>- меры муниципальной социальной поддержки в соответствии с Решением Городской Думы Петропавловск-Камчатского городского округа от 06.03.2013 № 36-нд «Об условиях и порядке предоставления бесплатной зубопротезной помощи (за исключением протезов из драгоценных металлов, металлокерамики и других дорогостоящих материалов и искусственных имплантатов) неработающим пенсионерам, проживающим на территории Петропавловск-Камчатского городского округа».</w:t>
      </w:r>
      <w:proofErr w:type="gramEnd"/>
      <w:r w:rsidRPr="00B43BEF">
        <w:rPr>
          <w:rFonts w:ascii="Times New Roman" w:hAnsi="Times New Roman"/>
          <w:sz w:val="28"/>
          <w:szCs w:val="28"/>
        </w:rPr>
        <w:t xml:space="preserve"> Объем предоставленных мер на бесплатное </w:t>
      </w:r>
      <w:r w:rsidRPr="006C2F1F">
        <w:rPr>
          <w:rFonts w:ascii="Times New Roman" w:hAnsi="Times New Roman"/>
          <w:sz w:val="28"/>
          <w:szCs w:val="28"/>
        </w:rPr>
        <w:t>зубопротезирование в 2015 году составил 1 661,892 тыс</w:t>
      </w:r>
      <w:r w:rsidRPr="00B43BEF">
        <w:rPr>
          <w:rFonts w:ascii="Times New Roman" w:hAnsi="Times New Roman"/>
          <w:sz w:val="28"/>
          <w:szCs w:val="28"/>
        </w:rPr>
        <w:t xml:space="preserve">. рублей, услуга была оказана 44 человекам, проживающему в городском округе. </w:t>
      </w:r>
    </w:p>
    <w:p w:rsidR="006C02D6" w:rsidRPr="00B43BEF" w:rsidRDefault="006C02D6" w:rsidP="00C72DD0">
      <w:pPr>
        <w:spacing w:after="0"/>
        <w:rPr>
          <w:rFonts w:ascii="Times New Roman" w:hAnsi="Times New Roman"/>
          <w:sz w:val="28"/>
          <w:szCs w:val="28"/>
        </w:rPr>
      </w:pPr>
      <w:r w:rsidRPr="00B43BEF">
        <w:rPr>
          <w:rFonts w:ascii="Times New Roman" w:hAnsi="Times New Roman"/>
          <w:sz w:val="28"/>
          <w:szCs w:val="28"/>
        </w:rPr>
        <w:t xml:space="preserve">По оценке в 2016 году объем предоставленных мер составит 2 620,404 тыс. рублей. </w:t>
      </w:r>
    </w:p>
    <w:p w:rsidR="006C02D6" w:rsidRPr="00B43BEF" w:rsidRDefault="006C02D6" w:rsidP="00C72DD0">
      <w:pPr>
        <w:spacing w:after="0"/>
        <w:rPr>
          <w:rFonts w:ascii="Times New Roman" w:hAnsi="Times New Roman"/>
          <w:sz w:val="28"/>
          <w:szCs w:val="28"/>
        </w:rPr>
      </w:pPr>
      <w:r w:rsidRPr="00B43BEF">
        <w:rPr>
          <w:rFonts w:ascii="Times New Roman" w:hAnsi="Times New Roman"/>
          <w:sz w:val="28"/>
          <w:szCs w:val="28"/>
        </w:rPr>
        <w:t>По прогнозу на 2017-2019 годы увеличения ассигнований на бесплатное зубопротезирование не планируется.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617"/>
        <w:gridCol w:w="4681"/>
        <w:gridCol w:w="3341"/>
      </w:tblGrid>
      <w:tr w:rsidR="006C02D6" w:rsidRPr="000060BA" w:rsidTr="006C02D6">
        <w:trPr>
          <w:trHeight w:val="620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получателей</w:t>
            </w:r>
          </w:p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(чел.)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Меры социальной поддержки</w:t>
            </w: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 xml:space="preserve"> (руб.)</w:t>
            </w:r>
          </w:p>
        </w:tc>
      </w:tr>
      <w:tr w:rsidR="006C02D6" w:rsidRPr="000060BA" w:rsidTr="006C02D6">
        <w:trPr>
          <w:trHeight w:val="317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1 661 892,27</w:t>
            </w:r>
          </w:p>
        </w:tc>
      </w:tr>
      <w:tr w:rsidR="006C02D6" w:rsidRPr="000060BA" w:rsidTr="006C02D6">
        <w:trPr>
          <w:trHeight w:val="317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945293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мес. 2016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1 202 294,69</w:t>
            </w:r>
          </w:p>
        </w:tc>
      </w:tr>
      <w:tr w:rsidR="006C02D6" w:rsidRPr="000060BA" w:rsidTr="006C02D6">
        <w:trPr>
          <w:trHeight w:val="317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945293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2016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2 620 404,00</w:t>
            </w:r>
          </w:p>
        </w:tc>
      </w:tr>
      <w:tr w:rsidR="006C02D6" w:rsidRPr="000060BA" w:rsidTr="006C02D6">
        <w:trPr>
          <w:trHeight w:val="317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B07D2F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7D2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2 620 404,00</w:t>
            </w:r>
          </w:p>
        </w:tc>
      </w:tr>
      <w:tr w:rsidR="006C02D6" w:rsidRPr="000060BA" w:rsidTr="006C02D6">
        <w:trPr>
          <w:trHeight w:val="317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6C9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2 620 404,00</w:t>
            </w:r>
          </w:p>
        </w:tc>
      </w:tr>
      <w:tr w:rsidR="006C02D6" w:rsidRPr="000060BA" w:rsidTr="006C02D6">
        <w:trPr>
          <w:trHeight w:val="317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2 620 404,00</w:t>
            </w:r>
          </w:p>
        </w:tc>
      </w:tr>
    </w:tbl>
    <w:p w:rsidR="00945293" w:rsidRDefault="00945293" w:rsidP="006C02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C02D6" w:rsidRDefault="006C02D6" w:rsidP="006C02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B43BEF">
        <w:rPr>
          <w:rFonts w:ascii="Times New Roman" w:hAnsi="Times New Roman"/>
          <w:sz w:val="28"/>
          <w:szCs w:val="28"/>
        </w:rPr>
        <w:t>- меры муниципальной социальной поддержки Почётным гражданам города Петропавловска-Камчатского в соответствии с Решением Городской Думы Петропавловск-Камчатского городского округа от 31.10.2013 № 144-нд «О порядке и условиях присвоения звания «Почетный гражданин города Петропавловска-Камчатского».</w:t>
      </w:r>
      <w:proofErr w:type="gramEnd"/>
      <w:r w:rsidRPr="00B43BEF">
        <w:rPr>
          <w:rFonts w:ascii="Times New Roman" w:hAnsi="Times New Roman"/>
          <w:sz w:val="28"/>
          <w:szCs w:val="28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 xml:space="preserve">Объем предоставленных мер </w:t>
      </w:r>
      <w:r>
        <w:rPr>
          <w:rFonts w:ascii="Times New Roman" w:hAnsi="Times New Roman"/>
          <w:sz w:val="28"/>
          <w:szCs w:val="28"/>
        </w:rPr>
        <w:t xml:space="preserve">социальной поддержки </w:t>
      </w:r>
      <w:r w:rsidRPr="00CD595E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5</w:t>
      </w:r>
      <w:r w:rsidRPr="00CD595E">
        <w:rPr>
          <w:rFonts w:ascii="Times New Roman" w:hAnsi="Times New Roman"/>
          <w:sz w:val="28"/>
          <w:szCs w:val="28"/>
        </w:rPr>
        <w:t xml:space="preserve"> году составил </w:t>
      </w:r>
      <w:r>
        <w:rPr>
          <w:rFonts w:ascii="Times New Roman" w:hAnsi="Times New Roman"/>
          <w:sz w:val="28"/>
          <w:szCs w:val="28"/>
        </w:rPr>
        <w:t>1 938,9</w:t>
      </w:r>
      <w:r w:rsidRPr="00BB2B71">
        <w:rPr>
          <w:rFonts w:ascii="Times New Roman" w:hAnsi="Times New Roman"/>
          <w:sz w:val="32"/>
          <w:szCs w:val="28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>руб. По оценке на 201</w:t>
      </w:r>
      <w:r>
        <w:rPr>
          <w:rFonts w:ascii="Times New Roman" w:hAnsi="Times New Roman"/>
          <w:sz w:val="28"/>
          <w:szCs w:val="28"/>
        </w:rPr>
        <w:t>6</w:t>
      </w:r>
      <w:r w:rsidRPr="00CD595E">
        <w:rPr>
          <w:rFonts w:ascii="Times New Roman" w:hAnsi="Times New Roman"/>
          <w:sz w:val="28"/>
          <w:szCs w:val="28"/>
        </w:rPr>
        <w:t xml:space="preserve"> год объем предоставленных мер составит </w:t>
      </w:r>
      <w:r>
        <w:rPr>
          <w:rFonts w:ascii="Times New Roman" w:hAnsi="Times New Roman"/>
          <w:sz w:val="28"/>
          <w:szCs w:val="28"/>
        </w:rPr>
        <w:t xml:space="preserve">2 177,3 </w:t>
      </w:r>
      <w:r w:rsidRPr="00CD595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 xml:space="preserve">рублей. По прогнозу на </w:t>
      </w:r>
      <w:r>
        <w:rPr>
          <w:rFonts w:ascii="Times New Roman" w:hAnsi="Times New Roman"/>
          <w:sz w:val="28"/>
          <w:szCs w:val="28"/>
        </w:rPr>
        <w:t>2</w:t>
      </w:r>
      <w:r w:rsidRPr="00CD595E">
        <w:rPr>
          <w:rFonts w:ascii="Times New Roman" w:hAnsi="Times New Roman"/>
          <w:sz w:val="28"/>
          <w:szCs w:val="28"/>
        </w:rPr>
        <w:t>01</w:t>
      </w:r>
      <w:r>
        <w:rPr>
          <w:rFonts w:ascii="Times New Roman" w:hAnsi="Times New Roman"/>
          <w:sz w:val="28"/>
          <w:szCs w:val="28"/>
        </w:rPr>
        <w:t>7</w:t>
      </w:r>
      <w:r w:rsidRPr="00CD59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CD595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CD595E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 xml:space="preserve">увеличение </w:t>
      </w:r>
      <w:r w:rsidRPr="00CD595E">
        <w:rPr>
          <w:rFonts w:ascii="Times New Roman" w:hAnsi="Times New Roman"/>
          <w:sz w:val="28"/>
          <w:szCs w:val="28"/>
        </w:rPr>
        <w:t>ассигновани</w:t>
      </w:r>
      <w:r>
        <w:rPr>
          <w:rFonts w:ascii="Times New Roman" w:hAnsi="Times New Roman"/>
          <w:sz w:val="28"/>
          <w:szCs w:val="28"/>
        </w:rPr>
        <w:t>й планируется с учетом индексации.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609"/>
        <w:gridCol w:w="4688"/>
        <w:gridCol w:w="3342"/>
      </w:tblGrid>
      <w:tr w:rsidR="006C02D6" w:rsidRPr="000060BA" w:rsidTr="006C02D6">
        <w:trPr>
          <w:trHeight w:val="620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получателей</w:t>
            </w:r>
          </w:p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(чел.)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Меры социальной поддержки</w:t>
            </w: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 xml:space="preserve"> (руб.)</w:t>
            </w:r>
          </w:p>
        </w:tc>
      </w:tr>
      <w:tr w:rsidR="006C02D6" w:rsidRPr="000060B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1 938 921,86</w:t>
            </w:r>
          </w:p>
        </w:tc>
      </w:tr>
      <w:tr w:rsidR="006C02D6" w:rsidRPr="000060B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945293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мес. 2016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775 919,74</w:t>
            </w:r>
          </w:p>
        </w:tc>
      </w:tr>
      <w:tr w:rsidR="006C02D6" w:rsidRPr="000060B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945293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2016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2 177 327,00</w:t>
            </w:r>
          </w:p>
        </w:tc>
      </w:tr>
      <w:tr w:rsidR="006C02D6" w:rsidRPr="000060B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2 451 683,00</w:t>
            </w:r>
          </w:p>
        </w:tc>
      </w:tr>
      <w:tr w:rsidR="006C02D6" w:rsidRPr="000060B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6C9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E5F2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2 554 530,00</w:t>
            </w:r>
          </w:p>
        </w:tc>
      </w:tr>
      <w:tr w:rsidR="006C02D6" w:rsidRPr="000060B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2 657 376,00</w:t>
            </w:r>
          </w:p>
        </w:tc>
      </w:tr>
    </w:tbl>
    <w:p w:rsidR="00764E8E" w:rsidRDefault="00764E8E" w:rsidP="00C72DD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6C02D6" w:rsidRPr="00850C8F" w:rsidRDefault="006C02D6" w:rsidP="00C72DD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850C8F">
        <w:rPr>
          <w:rFonts w:ascii="Times New Roman" w:hAnsi="Times New Roman"/>
          <w:sz w:val="28"/>
          <w:szCs w:val="28"/>
        </w:rPr>
        <w:t>Планируется продолжение работы по назначению и выплате ежемесячных доплат к пенсии лицам, замещавшим муниципальные должности в Петропавловск-Камчатском городском округе, и пенсии за выслугу лет лицам, замещавшим должности муниципальной службы в Петропавловск-Камчатском городском округе в соответствии с Решениями Городской Думы Петропавловска-Камчатского городского округа от 06.05.2013 № 57-нд «О назначении и выплате пенсии за выслугу лет лицам, замещавшим должности муниципальной службы в Петропавловск-Камчатском</w:t>
      </w:r>
      <w:proofErr w:type="gramEnd"/>
      <w:r w:rsidRPr="00850C8F">
        <w:rPr>
          <w:rFonts w:ascii="Times New Roman" w:hAnsi="Times New Roman"/>
          <w:sz w:val="28"/>
          <w:szCs w:val="28"/>
        </w:rPr>
        <w:t xml:space="preserve"> городском округе» и от 27.12.2013 № 161-нд «О порядке назначения и выплаты ежемесячной доплаты к пенсии лицам, замещавшим муниципальные должности в </w:t>
      </w:r>
      <w:proofErr w:type="gramStart"/>
      <w:r w:rsidRPr="00850C8F">
        <w:rPr>
          <w:rFonts w:ascii="Times New Roman" w:hAnsi="Times New Roman"/>
          <w:sz w:val="28"/>
          <w:szCs w:val="28"/>
        </w:rPr>
        <w:t>Петропавловск-Камчатском</w:t>
      </w:r>
      <w:proofErr w:type="gramEnd"/>
      <w:r w:rsidRPr="00850C8F">
        <w:rPr>
          <w:rFonts w:ascii="Times New Roman" w:hAnsi="Times New Roman"/>
          <w:sz w:val="28"/>
          <w:szCs w:val="28"/>
        </w:rPr>
        <w:t xml:space="preserve"> городском округе».</w:t>
      </w:r>
    </w:p>
    <w:p w:rsidR="006C02D6" w:rsidRDefault="006C02D6" w:rsidP="00C72DD0">
      <w:pPr>
        <w:spacing w:after="0"/>
        <w:rPr>
          <w:rFonts w:ascii="Times New Roman" w:hAnsi="Times New Roman"/>
          <w:sz w:val="28"/>
          <w:szCs w:val="28"/>
        </w:rPr>
      </w:pPr>
      <w:r w:rsidRPr="00CD595E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ассигнований на выплату доплат и пенсий за выслугу лет </w:t>
      </w:r>
      <w:r w:rsidRPr="00CD595E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5</w:t>
      </w:r>
      <w:r w:rsidRPr="00CD595E">
        <w:rPr>
          <w:rFonts w:ascii="Times New Roman" w:hAnsi="Times New Roman"/>
          <w:sz w:val="28"/>
          <w:szCs w:val="28"/>
        </w:rPr>
        <w:t xml:space="preserve"> году составил</w:t>
      </w:r>
      <w:r>
        <w:rPr>
          <w:rFonts w:ascii="Times New Roman" w:hAnsi="Times New Roman"/>
          <w:sz w:val="28"/>
          <w:szCs w:val="28"/>
        </w:rPr>
        <w:t xml:space="preserve"> 11 818,2</w:t>
      </w:r>
      <w:r w:rsidRPr="00364C5C">
        <w:rPr>
          <w:rFonts w:ascii="Times New Roman" w:hAnsi="Times New Roman"/>
          <w:sz w:val="28"/>
          <w:szCs w:val="28"/>
        </w:rPr>
        <w:t xml:space="preserve"> тыс</w:t>
      </w:r>
      <w:r w:rsidRPr="00CD595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>руб. По оценке на 201</w:t>
      </w:r>
      <w:r>
        <w:rPr>
          <w:rFonts w:ascii="Times New Roman" w:hAnsi="Times New Roman"/>
          <w:sz w:val="28"/>
          <w:szCs w:val="28"/>
        </w:rPr>
        <w:t xml:space="preserve">6 год объем выплат </w:t>
      </w:r>
      <w:r w:rsidRPr="00CD595E">
        <w:rPr>
          <w:rFonts w:ascii="Times New Roman" w:hAnsi="Times New Roman"/>
          <w:sz w:val="28"/>
          <w:szCs w:val="28"/>
        </w:rPr>
        <w:t xml:space="preserve">составит </w:t>
      </w:r>
      <w:r>
        <w:rPr>
          <w:rFonts w:ascii="Times New Roman" w:hAnsi="Times New Roman"/>
          <w:sz w:val="28"/>
          <w:szCs w:val="28"/>
        </w:rPr>
        <w:t>13 292,1</w:t>
      </w:r>
      <w:r w:rsidRPr="00D0733B">
        <w:rPr>
          <w:rFonts w:ascii="Times New Roman" w:hAnsi="Times New Roman"/>
          <w:sz w:val="28"/>
          <w:szCs w:val="24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рублей. По прогнозу на 2017</w:t>
      </w:r>
      <w:r w:rsidRPr="00CD59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CD595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CD595E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 xml:space="preserve">увеличение ассигнований не планируется. 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609"/>
        <w:gridCol w:w="4688"/>
        <w:gridCol w:w="3342"/>
      </w:tblGrid>
      <w:tr w:rsidR="006C02D6" w:rsidRPr="002E272A" w:rsidTr="006C02D6">
        <w:trPr>
          <w:trHeight w:val="620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получателей</w:t>
            </w:r>
          </w:p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(чел.)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Сумма  выплаты</w:t>
            </w:r>
          </w:p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 xml:space="preserve"> (руб.)</w:t>
            </w:r>
          </w:p>
        </w:tc>
      </w:tr>
      <w:tr w:rsidR="006C02D6" w:rsidRPr="002E272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11 818 226,46</w:t>
            </w:r>
          </w:p>
        </w:tc>
      </w:tr>
      <w:tr w:rsidR="006C02D6" w:rsidRPr="002E272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945293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мес. 2016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6 350 578,33</w:t>
            </w:r>
          </w:p>
        </w:tc>
      </w:tr>
      <w:tr w:rsidR="006C02D6" w:rsidRPr="002E272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945293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2016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13 292 077,00</w:t>
            </w:r>
          </w:p>
        </w:tc>
      </w:tr>
      <w:tr w:rsidR="006C02D6" w:rsidRPr="002E272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13 378 475,00</w:t>
            </w:r>
          </w:p>
        </w:tc>
      </w:tr>
      <w:tr w:rsidR="006C02D6" w:rsidRPr="002E272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6C94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13 378 475,00</w:t>
            </w:r>
          </w:p>
        </w:tc>
      </w:tr>
      <w:tr w:rsidR="006C02D6" w:rsidRPr="002E272A" w:rsidTr="006C02D6">
        <w:trPr>
          <w:trHeight w:val="31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13 378 475,00</w:t>
            </w:r>
          </w:p>
        </w:tc>
      </w:tr>
    </w:tbl>
    <w:p w:rsidR="00506B54" w:rsidRDefault="00506B54" w:rsidP="00F33842">
      <w:pPr>
        <w:spacing w:after="0"/>
        <w:rPr>
          <w:rFonts w:ascii="Times New Roman" w:hAnsi="Times New Roman"/>
          <w:sz w:val="28"/>
          <w:szCs w:val="28"/>
        </w:rPr>
      </w:pPr>
    </w:p>
    <w:p w:rsidR="006C02D6" w:rsidRDefault="006C02D6" w:rsidP="00F33842">
      <w:pPr>
        <w:spacing w:after="0"/>
      </w:pPr>
      <w:r w:rsidRPr="007B0195">
        <w:rPr>
          <w:rFonts w:ascii="Times New Roman" w:hAnsi="Times New Roman"/>
          <w:sz w:val="28"/>
          <w:szCs w:val="28"/>
        </w:rPr>
        <w:t>Планируется продолжение работы по возмещению расходов, связанных с погребением, специализированным службам по вопросам похоронного дела. Объем возмещенных расходов, связанных с погребением, в 2015 году составил 12 448,5</w:t>
      </w:r>
      <w:r w:rsidRPr="007B0195">
        <w:rPr>
          <w:rFonts w:ascii="Times New Roman" w:hAnsi="Times New Roman"/>
          <w:sz w:val="32"/>
          <w:szCs w:val="28"/>
        </w:rPr>
        <w:t xml:space="preserve"> </w:t>
      </w:r>
      <w:r w:rsidRPr="007B0195">
        <w:rPr>
          <w:rFonts w:ascii="Times New Roman" w:hAnsi="Times New Roman"/>
          <w:sz w:val="28"/>
          <w:szCs w:val="28"/>
        </w:rPr>
        <w:t>тыс. рублей. По оценке на 2016 год объем возмещения составит         15 015,1 тыс. рублей. По прогнозу на 2017-2019 годы увеличение ассигнований на погребение планируется с учетом индексации тарифов.</w:t>
      </w:r>
      <w:r w:rsidRPr="00E46B54">
        <w:t xml:space="preserve"> 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047"/>
        <w:gridCol w:w="7592"/>
      </w:tblGrid>
      <w:tr w:rsidR="006C02D6" w:rsidRPr="002E272A" w:rsidTr="006C02D6">
        <w:trPr>
          <w:trHeight w:val="620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Сумма возмещения</w:t>
            </w: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>(руб.)</w:t>
            </w:r>
          </w:p>
        </w:tc>
      </w:tr>
      <w:tr w:rsidR="006C02D6" w:rsidRPr="002E272A" w:rsidTr="006C02D6">
        <w:trPr>
          <w:trHeight w:val="317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12 448 507,95</w:t>
            </w:r>
          </w:p>
        </w:tc>
      </w:tr>
      <w:tr w:rsidR="006C02D6" w:rsidRPr="002E272A" w:rsidTr="006C02D6">
        <w:trPr>
          <w:trHeight w:val="317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945293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мес. 2016</w:t>
            </w:r>
          </w:p>
        </w:tc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8 270 414,50</w:t>
            </w:r>
          </w:p>
        </w:tc>
      </w:tr>
      <w:tr w:rsidR="006C02D6" w:rsidRPr="002E272A" w:rsidTr="006C02D6">
        <w:trPr>
          <w:trHeight w:val="317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945293">
            <w:pPr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2016</w:t>
            </w:r>
          </w:p>
        </w:tc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15 015 131,00</w:t>
            </w:r>
          </w:p>
        </w:tc>
      </w:tr>
      <w:tr w:rsidR="006C02D6" w:rsidRPr="002E272A" w:rsidTr="006C02D6">
        <w:trPr>
          <w:trHeight w:val="317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16 321 955,00</w:t>
            </w:r>
          </w:p>
        </w:tc>
      </w:tr>
      <w:tr w:rsidR="006C02D6" w:rsidRPr="002E272A" w:rsidTr="006C02D6">
        <w:trPr>
          <w:trHeight w:val="317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E6C94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16 321 955,00</w:t>
            </w:r>
          </w:p>
        </w:tc>
      </w:tr>
      <w:tr w:rsidR="006C02D6" w:rsidRPr="002E272A" w:rsidTr="006C02D6">
        <w:trPr>
          <w:trHeight w:val="317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16 321 955,00</w:t>
            </w:r>
          </w:p>
        </w:tc>
      </w:tr>
    </w:tbl>
    <w:p w:rsidR="00506B54" w:rsidRDefault="00506B54" w:rsidP="00C72DD0">
      <w:pPr>
        <w:spacing w:after="0"/>
        <w:rPr>
          <w:rFonts w:ascii="Times New Roman" w:hAnsi="Times New Roman"/>
          <w:sz w:val="28"/>
          <w:szCs w:val="28"/>
        </w:rPr>
      </w:pPr>
    </w:p>
    <w:p w:rsidR="007137C4" w:rsidRDefault="006C02D6" w:rsidP="00C72DD0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12162B">
        <w:rPr>
          <w:rFonts w:ascii="Times New Roman" w:hAnsi="Times New Roman"/>
          <w:sz w:val="28"/>
          <w:szCs w:val="28"/>
        </w:rPr>
        <w:t>Объём субвенции на выполнение государ</w:t>
      </w:r>
      <w:r>
        <w:rPr>
          <w:rFonts w:ascii="Times New Roman" w:hAnsi="Times New Roman"/>
          <w:sz w:val="28"/>
          <w:szCs w:val="28"/>
        </w:rPr>
        <w:t xml:space="preserve">ственных полномочий </w:t>
      </w:r>
      <w:r w:rsidR="007137C4" w:rsidRPr="00BD593F">
        <w:rPr>
          <w:rFonts w:ascii="Times New Roman" w:hAnsi="Times New Roman"/>
          <w:sz w:val="28"/>
          <w:szCs w:val="28"/>
        </w:rPr>
        <w:t xml:space="preserve">по выплате компенсации части платы, взимаемой с родителей или иных законных представителей за присмотр и уход за детьми в образовательных организациях </w:t>
      </w:r>
      <w:r w:rsidR="007137C4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12162B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5 году был запланирован в сумме</w:t>
      </w:r>
      <w:r w:rsidRPr="001216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47 828 тыс. рублей</w:t>
      </w:r>
      <w:r w:rsidRPr="0012162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ф</w:t>
      </w:r>
      <w:r w:rsidRPr="0012162B">
        <w:rPr>
          <w:rFonts w:ascii="Times New Roman" w:hAnsi="Times New Roman"/>
          <w:sz w:val="28"/>
          <w:szCs w:val="28"/>
        </w:rPr>
        <w:t xml:space="preserve">актическое </w:t>
      </w:r>
      <w:r>
        <w:rPr>
          <w:rFonts w:ascii="Times New Roman" w:hAnsi="Times New Roman"/>
          <w:sz w:val="28"/>
          <w:szCs w:val="28"/>
        </w:rPr>
        <w:t>исполнение</w:t>
      </w:r>
      <w:r w:rsidRPr="0012162B">
        <w:rPr>
          <w:rFonts w:ascii="Times New Roman" w:hAnsi="Times New Roman"/>
          <w:sz w:val="28"/>
          <w:szCs w:val="28"/>
        </w:rPr>
        <w:t xml:space="preserve"> составило </w:t>
      </w:r>
      <w:r w:rsidR="007137C4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3,2 </w:t>
      </w:r>
      <w:r w:rsidRPr="0012162B"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hAnsi="Times New Roman"/>
          <w:sz w:val="28"/>
          <w:szCs w:val="28"/>
        </w:rPr>
        <w:t>меньше запланированного</w:t>
      </w:r>
      <w:r w:rsidRPr="0012162B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>По оценке на 201</w:t>
      </w:r>
      <w:r>
        <w:rPr>
          <w:rFonts w:ascii="Times New Roman" w:hAnsi="Times New Roman"/>
          <w:sz w:val="28"/>
          <w:szCs w:val="28"/>
        </w:rPr>
        <w:t xml:space="preserve">6 год объем выплат </w:t>
      </w:r>
      <w:r w:rsidRPr="00CD595E">
        <w:rPr>
          <w:rFonts w:ascii="Times New Roman" w:hAnsi="Times New Roman"/>
          <w:sz w:val="28"/>
          <w:szCs w:val="28"/>
        </w:rPr>
        <w:t xml:space="preserve">составит </w:t>
      </w:r>
      <w:r>
        <w:rPr>
          <w:rFonts w:ascii="Times New Roman" w:hAnsi="Times New Roman"/>
          <w:sz w:val="28"/>
          <w:szCs w:val="28"/>
        </w:rPr>
        <w:t>87 105,0</w:t>
      </w:r>
      <w:r w:rsidRPr="00D0733B">
        <w:rPr>
          <w:rFonts w:ascii="Times New Roman" w:hAnsi="Times New Roman"/>
          <w:sz w:val="28"/>
          <w:szCs w:val="24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рублей. </w:t>
      </w:r>
    </w:p>
    <w:p w:rsidR="006C02D6" w:rsidRPr="00E72F5D" w:rsidRDefault="006C02D6" w:rsidP="00C72DD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прогнозу на 2017</w:t>
      </w:r>
      <w:r w:rsidRPr="00CD59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CD595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CD595E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>увеличение объ</w:t>
      </w:r>
      <w:r w:rsidR="007137C4">
        <w:rPr>
          <w:rFonts w:ascii="Times New Roman" w:hAnsi="Times New Roman"/>
          <w:sz w:val="28"/>
          <w:szCs w:val="28"/>
        </w:rPr>
        <w:t>ема ассигнований не планируется:</w:t>
      </w:r>
    </w:p>
    <w:tbl>
      <w:tblPr>
        <w:tblW w:w="488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338"/>
        <w:gridCol w:w="7297"/>
      </w:tblGrid>
      <w:tr w:rsidR="006C02D6" w:rsidRPr="002E272A" w:rsidTr="006C02D6">
        <w:trPr>
          <w:trHeight w:val="62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Объём субвенции</w:t>
            </w:r>
          </w:p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>(руб.)</w:t>
            </w:r>
          </w:p>
        </w:tc>
      </w:tr>
      <w:tr w:rsidR="006C02D6" w:rsidRPr="002E272A" w:rsidTr="006C02D6">
        <w:trPr>
          <w:trHeight w:val="317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46 289 077,18</w:t>
            </w:r>
          </w:p>
        </w:tc>
      </w:tr>
      <w:tr w:rsidR="006C02D6" w:rsidRPr="002E272A" w:rsidTr="006C02D6">
        <w:trPr>
          <w:trHeight w:val="317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мес. 2016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32 147 957,00</w:t>
            </w:r>
          </w:p>
        </w:tc>
      </w:tr>
      <w:tr w:rsidR="006C02D6" w:rsidRPr="002E272A" w:rsidTr="006C02D6">
        <w:trPr>
          <w:trHeight w:val="317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2016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87 105 000,00</w:t>
            </w:r>
          </w:p>
        </w:tc>
      </w:tr>
      <w:tr w:rsidR="006C02D6" w:rsidRPr="002E272A" w:rsidTr="006C02D6">
        <w:trPr>
          <w:trHeight w:val="317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87 105 000,00</w:t>
            </w:r>
          </w:p>
        </w:tc>
      </w:tr>
      <w:tr w:rsidR="006C02D6" w:rsidRPr="002E272A" w:rsidTr="006C02D6">
        <w:trPr>
          <w:trHeight w:val="317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87 105 000,00</w:t>
            </w:r>
          </w:p>
        </w:tc>
      </w:tr>
      <w:tr w:rsidR="006C02D6" w:rsidRPr="002E272A" w:rsidTr="006C02D6">
        <w:trPr>
          <w:trHeight w:val="317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87 105 000,00</w:t>
            </w:r>
          </w:p>
        </w:tc>
      </w:tr>
    </w:tbl>
    <w:p w:rsidR="007137C4" w:rsidRDefault="007137C4" w:rsidP="006C02D6">
      <w:pPr>
        <w:rPr>
          <w:rFonts w:ascii="Times New Roman" w:hAnsi="Times New Roman"/>
          <w:sz w:val="28"/>
          <w:szCs w:val="28"/>
        </w:rPr>
      </w:pPr>
    </w:p>
    <w:p w:rsidR="006C02D6" w:rsidRPr="00696073" w:rsidRDefault="006C02D6" w:rsidP="007137C4">
      <w:pPr>
        <w:spacing w:after="0"/>
        <w:rPr>
          <w:rFonts w:ascii="Times New Roman" w:hAnsi="Times New Roman"/>
          <w:sz w:val="28"/>
          <w:szCs w:val="28"/>
        </w:rPr>
      </w:pPr>
      <w:r w:rsidRPr="00696073">
        <w:rPr>
          <w:rFonts w:ascii="Times New Roman" w:hAnsi="Times New Roman"/>
          <w:sz w:val="28"/>
          <w:szCs w:val="28"/>
        </w:rPr>
        <w:t xml:space="preserve">В 2017-2019 годах продолжится исполнение отдельных государственных полномочий Камчатского края по социальному обслуживанию граждан в Камчатском крае в соответствии с Законом Камчатского края от 04.12.2008 </w:t>
      </w:r>
      <w:r w:rsidR="007137C4">
        <w:rPr>
          <w:rFonts w:ascii="Times New Roman" w:hAnsi="Times New Roman"/>
          <w:sz w:val="28"/>
          <w:szCs w:val="28"/>
        </w:rPr>
        <w:t xml:space="preserve">               </w:t>
      </w:r>
      <w:r w:rsidRPr="00696073">
        <w:rPr>
          <w:rFonts w:ascii="Times New Roman" w:hAnsi="Times New Roman"/>
          <w:sz w:val="28"/>
          <w:szCs w:val="28"/>
        </w:rPr>
        <w:t xml:space="preserve">№ 160 «О наделении органов местного самоуправления муниципальных образований в Камчатском крае государственными полномочиями Камчатского края по социальному обслуживанию граждан в Камчатском крае», исполнение которых передано органам местного </w:t>
      </w:r>
      <w:proofErr w:type="gramStart"/>
      <w:r w:rsidRPr="00696073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696073">
        <w:rPr>
          <w:rFonts w:ascii="Times New Roman" w:hAnsi="Times New Roman"/>
          <w:sz w:val="28"/>
          <w:szCs w:val="28"/>
        </w:rPr>
        <w:t xml:space="preserve"> и финансирование которых осуществляется за счёт субвенций из бюджета Камчатского края.</w:t>
      </w:r>
    </w:p>
    <w:p w:rsidR="006C02D6" w:rsidRDefault="006C02D6" w:rsidP="007137C4">
      <w:pPr>
        <w:spacing w:after="0"/>
        <w:rPr>
          <w:rFonts w:ascii="Times New Roman" w:hAnsi="Times New Roman"/>
          <w:sz w:val="28"/>
          <w:szCs w:val="28"/>
        </w:rPr>
      </w:pPr>
      <w:r w:rsidRPr="0012162B">
        <w:rPr>
          <w:rFonts w:ascii="Times New Roman" w:hAnsi="Times New Roman"/>
          <w:sz w:val="28"/>
          <w:szCs w:val="28"/>
        </w:rPr>
        <w:t>Объём субвенции на выполне</w:t>
      </w:r>
      <w:r>
        <w:rPr>
          <w:rFonts w:ascii="Times New Roman" w:hAnsi="Times New Roman"/>
          <w:sz w:val="28"/>
          <w:szCs w:val="28"/>
        </w:rPr>
        <w:t xml:space="preserve">ние государственных полномочий </w:t>
      </w:r>
      <w:r w:rsidRPr="0012162B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5 году был запланирован в сумме 7 972,0</w:t>
      </w:r>
      <w:r w:rsidRPr="00376D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</w:t>
      </w:r>
      <w:r w:rsidRPr="0012162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ф</w:t>
      </w:r>
      <w:r w:rsidRPr="0012162B">
        <w:rPr>
          <w:rFonts w:ascii="Times New Roman" w:hAnsi="Times New Roman"/>
          <w:sz w:val="28"/>
          <w:szCs w:val="28"/>
        </w:rPr>
        <w:t xml:space="preserve">актическое </w:t>
      </w:r>
      <w:r>
        <w:rPr>
          <w:rFonts w:ascii="Times New Roman" w:hAnsi="Times New Roman"/>
          <w:sz w:val="28"/>
          <w:szCs w:val="28"/>
        </w:rPr>
        <w:t>исполнение</w:t>
      </w:r>
      <w:r w:rsidRPr="0012162B">
        <w:rPr>
          <w:rFonts w:ascii="Times New Roman" w:hAnsi="Times New Roman"/>
          <w:sz w:val="28"/>
          <w:szCs w:val="28"/>
        </w:rPr>
        <w:t xml:space="preserve"> составило </w:t>
      </w:r>
      <w:r>
        <w:rPr>
          <w:rFonts w:ascii="Times New Roman" w:hAnsi="Times New Roman"/>
          <w:sz w:val="28"/>
          <w:szCs w:val="28"/>
        </w:rPr>
        <w:t>7 739,5</w:t>
      </w:r>
      <w:r w:rsidRPr="00376DC4">
        <w:rPr>
          <w:rFonts w:ascii="Times New Roman" w:hAnsi="Times New Roman"/>
          <w:sz w:val="28"/>
          <w:szCs w:val="28"/>
        </w:rPr>
        <w:t xml:space="preserve"> </w:t>
      </w:r>
      <w:r w:rsidRPr="0012162B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лей. Выполнение составило 97 %</w:t>
      </w:r>
      <w:r w:rsidRPr="0012162B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>По оценке на 201</w:t>
      </w:r>
      <w:r>
        <w:rPr>
          <w:rFonts w:ascii="Times New Roman" w:hAnsi="Times New Roman"/>
          <w:sz w:val="28"/>
          <w:szCs w:val="28"/>
        </w:rPr>
        <w:t xml:space="preserve">6 год объем выплат </w:t>
      </w:r>
      <w:r w:rsidRPr="00CD595E">
        <w:rPr>
          <w:rFonts w:ascii="Times New Roman" w:hAnsi="Times New Roman"/>
          <w:sz w:val="28"/>
          <w:szCs w:val="28"/>
        </w:rPr>
        <w:t xml:space="preserve">составит </w:t>
      </w:r>
      <w:r>
        <w:rPr>
          <w:rFonts w:ascii="Times New Roman" w:hAnsi="Times New Roman"/>
          <w:sz w:val="28"/>
          <w:szCs w:val="28"/>
        </w:rPr>
        <w:t>6 301,3</w:t>
      </w:r>
      <w:r w:rsidRPr="00D0733B">
        <w:rPr>
          <w:rFonts w:ascii="Times New Roman" w:hAnsi="Times New Roman"/>
          <w:sz w:val="28"/>
          <w:szCs w:val="24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рублей. По прогнозу на 2017</w:t>
      </w:r>
      <w:r w:rsidRPr="00CD59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CD595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CD595E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>увеличения ассигнований не планируется.</w:t>
      </w:r>
    </w:p>
    <w:tbl>
      <w:tblPr>
        <w:tblW w:w="488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481"/>
        <w:gridCol w:w="7152"/>
      </w:tblGrid>
      <w:tr w:rsidR="006C02D6" w:rsidRPr="002E272A" w:rsidTr="00764E8E">
        <w:trPr>
          <w:trHeight w:val="620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Объём субвенции</w:t>
            </w:r>
          </w:p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>(руб.)</w:t>
            </w:r>
          </w:p>
        </w:tc>
      </w:tr>
      <w:tr w:rsidR="006C02D6" w:rsidRPr="002E272A" w:rsidTr="00764E8E">
        <w:trPr>
          <w:trHeight w:val="31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7 739 456,80</w:t>
            </w:r>
          </w:p>
        </w:tc>
      </w:tr>
      <w:tr w:rsidR="006C02D6" w:rsidRPr="002E272A" w:rsidTr="00764E8E">
        <w:trPr>
          <w:trHeight w:val="31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мес. 2016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6E2DF0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3 249 795,70</w:t>
            </w:r>
          </w:p>
        </w:tc>
      </w:tr>
      <w:tr w:rsidR="006C02D6" w:rsidRPr="002E272A" w:rsidTr="00764E8E">
        <w:trPr>
          <w:trHeight w:val="31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2016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6E2DF0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6 301 300,00 </w:t>
            </w:r>
          </w:p>
        </w:tc>
      </w:tr>
      <w:tr w:rsidR="006C02D6" w:rsidRPr="002E272A" w:rsidTr="00764E8E">
        <w:trPr>
          <w:trHeight w:val="31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6 301 300,0</w:t>
            </w:r>
          </w:p>
        </w:tc>
      </w:tr>
      <w:tr w:rsidR="006C02D6" w:rsidRPr="002E272A" w:rsidTr="00764E8E">
        <w:trPr>
          <w:trHeight w:val="31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6 301 300,0</w:t>
            </w:r>
          </w:p>
        </w:tc>
      </w:tr>
      <w:tr w:rsidR="006C02D6" w:rsidRPr="002E272A" w:rsidTr="00764E8E">
        <w:trPr>
          <w:trHeight w:val="317"/>
        </w:trPr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F338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6 301 300,0</w:t>
            </w:r>
          </w:p>
        </w:tc>
      </w:tr>
    </w:tbl>
    <w:p w:rsidR="007137C4" w:rsidRDefault="007137C4" w:rsidP="00C72DD0">
      <w:pPr>
        <w:autoSpaceDE w:val="0"/>
        <w:autoSpaceDN w:val="0"/>
        <w:adjustRightInd w:val="0"/>
        <w:spacing w:after="60"/>
        <w:rPr>
          <w:rFonts w:ascii="Times New Roman" w:hAnsi="Times New Roman"/>
          <w:sz w:val="28"/>
          <w:szCs w:val="28"/>
        </w:rPr>
      </w:pPr>
    </w:p>
    <w:p w:rsidR="006C02D6" w:rsidRDefault="006C02D6" w:rsidP="00C72DD0">
      <w:pPr>
        <w:autoSpaceDE w:val="0"/>
        <w:autoSpaceDN w:val="0"/>
        <w:adjustRightInd w:val="0"/>
        <w:spacing w:after="6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Pr="007C196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17-2019</w:t>
      </w:r>
      <w:r w:rsidRPr="007C196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ах</w:t>
      </w:r>
      <w:r w:rsidRPr="007C1961">
        <w:rPr>
          <w:rFonts w:ascii="Times New Roman" w:hAnsi="Times New Roman"/>
          <w:sz w:val="28"/>
          <w:szCs w:val="28"/>
        </w:rPr>
        <w:t xml:space="preserve"> продолж</w:t>
      </w:r>
      <w:r>
        <w:rPr>
          <w:rFonts w:ascii="Times New Roman" w:hAnsi="Times New Roman"/>
          <w:sz w:val="28"/>
          <w:szCs w:val="28"/>
        </w:rPr>
        <w:t>и</w:t>
      </w:r>
      <w:r w:rsidRPr="007C1961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исполнение отдельных</w:t>
      </w:r>
      <w:r w:rsidRPr="007C1961">
        <w:rPr>
          <w:rFonts w:ascii="Times New Roman" w:hAnsi="Times New Roman"/>
          <w:sz w:val="28"/>
          <w:szCs w:val="28"/>
        </w:rPr>
        <w:t xml:space="preserve"> государственных полномочий Камчатского края </w:t>
      </w:r>
      <w:r>
        <w:rPr>
          <w:rFonts w:ascii="Times New Roman" w:hAnsi="Times New Roman"/>
          <w:sz w:val="28"/>
          <w:szCs w:val="28"/>
        </w:rPr>
        <w:t>по предоставлению мер социальной поддержки отдельным категориям граждан в период получения ими образования в государственных и муниципальных образовательных организациях в Камчатском крае в соответствии с законом Камчатского края от 12.02.2014       № 390 «О мерах социальной поддержки отдельных категорий граждан в период получения ими образования в государственных и муниципальных образовательных организациях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Камчатском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крае».</w:t>
      </w:r>
    </w:p>
    <w:p w:rsidR="006C02D6" w:rsidRDefault="006C02D6" w:rsidP="00C72DD0">
      <w:pPr>
        <w:autoSpaceDE w:val="0"/>
        <w:autoSpaceDN w:val="0"/>
        <w:adjustRightInd w:val="0"/>
        <w:spacing w:after="60"/>
        <w:rPr>
          <w:rFonts w:ascii="Times New Roman" w:hAnsi="Times New Roman"/>
          <w:sz w:val="28"/>
          <w:szCs w:val="28"/>
        </w:rPr>
      </w:pPr>
      <w:r w:rsidRPr="0012162B">
        <w:rPr>
          <w:rFonts w:ascii="Times New Roman" w:hAnsi="Times New Roman"/>
          <w:sz w:val="28"/>
          <w:szCs w:val="28"/>
        </w:rPr>
        <w:t>Объём субвенции на выполне</w:t>
      </w:r>
      <w:r>
        <w:rPr>
          <w:rFonts w:ascii="Times New Roman" w:hAnsi="Times New Roman"/>
          <w:sz w:val="28"/>
          <w:szCs w:val="28"/>
        </w:rPr>
        <w:t xml:space="preserve">ние государственных полномочий </w:t>
      </w:r>
      <w:r w:rsidRPr="0012162B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5 году был запланирован в сумме 61 827,1</w:t>
      </w:r>
      <w:r w:rsidRPr="005308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</w:t>
      </w:r>
      <w:r w:rsidRPr="0012162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ф</w:t>
      </w:r>
      <w:r w:rsidRPr="0012162B">
        <w:rPr>
          <w:rFonts w:ascii="Times New Roman" w:hAnsi="Times New Roman"/>
          <w:sz w:val="28"/>
          <w:szCs w:val="28"/>
        </w:rPr>
        <w:t xml:space="preserve">актическое выполнение составило </w:t>
      </w:r>
      <w:r>
        <w:rPr>
          <w:rFonts w:ascii="Times New Roman" w:hAnsi="Times New Roman"/>
          <w:sz w:val="28"/>
          <w:szCs w:val="28"/>
        </w:rPr>
        <w:t>61 045,1</w:t>
      </w:r>
      <w:r w:rsidRPr="00530825">
        <w:rPr>
          <w:rFonts w:ascii="Times New Roman" w:hAnsi="Times New Roman"/>
          <w:sz w:val="28"/>
          <w:szCs w:val="28"/>
        </w:rPr>
        <w:t xml:space="preserve"> </w:t>
      </w:r>
      <w:r w:rsidRPr="0012162B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 xml:space="preserve">лей, </w:t>
      </w:r>
      <w:r w:rsidRPr="0012162B">
        <w:rPr>
          <w:rFonts w:ascii="Times New Roman" w:hAnsi="Times New Roman"/>
          <w:sz w:val="28"/>
          <w:szCs w:val="28"/>
        </w:rPr>
        <w:t xml:space="preserve">что на </w:t>
      </w:r>
      <w:r>
        <w:rPr>
          <w:rFonts w:ascii="Times New Roman" w:hAnsi="Times New Roman"/>
          <w:sz w:val="28"/>
          <w:szCs w:val="28"/>
        </w:rPr>
        <w:t>781,9 тыс. рублей</w:t>
      </w:r>
      <w:r w:rsidRPr="0012162B">
        <w:rPr>
          <w:rFonts w:ascii="Times New Roman" w:hAnsi="Times New Roman"/>
          <w:sz w:val="28"/>
          <w:szCs w:val="28"/>
        </w:rPr>
        <w:t xml:space="preserve">, или </w:t>
      </w:r>
      <w:r>
        <w:rPr>
          <w:rFonts w:ascii="Times New Roman" w:hAnsi="Times New Roman"/>
          <w:sz w:val="28"/>
          <w:szCs w:val="28"/>
        </w:rPr>
        <w:t xml:space="preserve">1,3 </w:t>
      </w:r>
      <w:r w:rsidRPr="0012162B"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hAnsi="Times New Roman"/>
          <w:sz w:val="28"/>
          <w:szCs w:val="28"/>
        </w:rPr>
        <w:t>меньше запланированного</w:t>
      </w:r>
      <w:r w:rsidRPr="001216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>По оценке на 201</w:t>
      </w:r>
      <w:r>
        <w:rPr>
          <w:rFonts w:ascii="Times New Roman" w:hAnsi="Times New Roman"/>
          <w:sz w:val="28"/>
          <w:szCs w:val="28"/>
        </w:rPr>
        <w:t xml:space="preserve">6 год объем выплат </w:t>
      </w:r>
      <w:r w:rsidRPr="00CD595E">
        <w:rPr>
          <w:rFonts w:ascii="Times New Roman" w:hAnsi="Times New Roman"/>
          <w:sz w:val="28"/>
          <w:szCs w:val="28"/>
        </w:rPr>
        <w:t xml:space="preserve">составит </w:t>
      </w:r>
      <w:r>
        <w:rPr>
          <w:rFonts w:ascii="Times New Roman" w:hAnsi="Times New Roman"/>
          <w:sz w:val="28"/>
          <w:szCs w:val="28"/>
        </w:rPr>
        <w:t>86 977,5</w:t>
      </w:r>
      <w:r w:rsidRPr="00D0733B">
        <w:rPr>
          <w:rFonts w:ascii="Times New Roman" w:hAnsi="Times New Roman"/>
          <w:sz w:val="28"/>
          <w:szCs w:val="24"/>
        </w:rPr>
        <w:t xml:space="preserve"> </w:t>
      </w:r>
      <w:r w:rsidRPr="00CD595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рублей. По прогнозу на 2017</w:t>
      </w:r>
      <w:r w:rsidRPr="00CD59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CD595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CD595E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/>
          <w:sz w:val="28"/>
          <w:szCs w:val="28"/>
        </w:rPr>
        <w:t>увеличения ассигнований не планируется.</w:t>
      </w:r>
    </w:p>
    <w:tbl>
      <w:tblPr>
        <w:tblW w:w="4891" w:type="pct"/>
        <w:tblInd w:w="108" w:type="dxa"/>
        <w:tblLook w:val="0000" w:firstRow="0" w:lastRow="0" w:firstColumn="0" w:lastColumn="0" w:noHBand="0" w:noVBand="0"/>
      </w:tblPr>
      <w:tblGrid>
        <w:gridCol w:w="4372"/>
        <w:gridCol w:w="5267"/>
      </w:tblGrid>
      <w:tr w:rsidR="006C02D6" w:rsidRPr="002E272A" w:rsidTr="006C02D6">
        <w:trPr>
          <w:trHeight w:val="620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Объём субвенции</w:t>
            </w:r>
          </w:p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272A">
              <w:rPr>
                <w:rFonts w:ascii="Times New Roman" w:hAnsi="Times New Roman"/>
                <w:b/>
                <w:sz w:val="24"/>
                <w:szCs w:val="24"/>
              </w:rPr>
              <w:t>(руб.)</w:t>
            </w:r>
          </w:p>
        </w:tc>
      </w:tr>
      <w:tr w:rsidR="006C02D6" w:rsidRPr="002E272A" w:rsidTr="006C02D6">
        <w:trPr>
          <w:trHeight w:val="317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61 045 120,06</w:t>
            </w:r>
          </w:p>
        </w:tc>
      </w:tr>
      <w:tr w:rsidR="006C02D6" w:rsidRPr="002E272A" w:rsidTr="006C02D6">
        <w:trPr>
          <w:trHeight w:val="317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мес. 2016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36 594 870,00</w:t>
            </w:r>
          </w:p>
        </w:tc>
      </w:tr>
      <w:tr w:rsidR="006C02D6" w:rsidRPr="002E272A" w:rsidTr="006C02D6">
        <w:trPr>
          <w:trHeight w:val="317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2016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Pr="002E272A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86 977 482,00</w:t>
            </w:r>
          </w:p>
        </w:tc>
      </w:tr>
      <w:tr w:rsidR="006C02D6" w:rsidRPr="002E272A" w:rsidTr="006C02D6">
        <w:trPr>
          <w:trHeight w:val="317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86 977 482,00</w:t>
            </w:r>
          </w:p>
        </w:tc>
      </w:tr>
      <w:tr w:rsidR="006C02D6" w:rsidRPr="002E272A" w:rsidTr="006C02D6">
        <w:trPr>
          <w:trHeight w:val="317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86 977 482,00</w:t>
            </w:r>
          </w:p>
        </w:tc>
      </w:tr>
      <w:tr w:rsidR="006C02D6" w:rsidRPr="002E272A" w:rsidTr="006C02D6">
        <w:trPr>
          <w:trHeight w:val="317"/>
        </w:trPr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D6" w:rsidRDefault="006C02D6" w:rsidP="00C72D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86 977 482,00</w:t>
            </w:r>
          </w:p>
        </w:tc>
      </w:tr>
    </w:tbl>
    <w:p w:rsidR="007137C4" w:rsidRDefault="007137C4" w:rsidP="00C72DD0">
      <w:pPr>
        <w:spacing w:after="60"/>
        <w:contextualSpacing/>
        <w:rPr>
          <w:rFonts w:ascii="Times New Roman" w:hAnsi="Times New Roman"/>
          <w:sz w:val="28"/>
          <w:szCs w:val="28"/>
        </w:rPr>
      </w:pPr>
    </w:p>
    <w:p w:rsidR="006C02D6" w:rsidRPr="00FB5A6F" w:rsidRDefault="006C02D6" w:rsidP="00C72DD0">
      <w:pPr>
        <w:spacing w:after="60"/>
        <w:contextualSpacing/>
        <w:rPr>
          <w:rFonts w:ascii="Times New Roman" w:hAnsi="Times New Roman"/>
          <w:sz w:val="28"/>
          <w:szCs w:val="28"/>
        </w:rPr>
      </w:pPr>
      <w:r w:rsidRPr="00FB5A6F">
        <w:rPr>
          <w:rFonts w:ascii="Times New Roman" w:hAnsi="Times New Roman"/>
          <w:sz w:val="28"/>
          <w:szCs w:val="28"/>
        </w:rPr>
        <w:t>Ситуация с предоставлением социальных услуг и мер социальной поддержки в городском округе является стабильной, чему способствуют следующие благоприятные факторы, сложившиеся в системе социального обслуживания населения:</w:t>
      </w:r>
    </w:p>
    <w:p w:rsidR="006C02D6" w:rsidRPr="00806C19" w:rsidRDefault="006C02D6" w:rsidP="00806C19">
      <w:pPr>
        <w:spacing w:after="0"/>
        <w:rPr>
          <w:rFonts w:ascii="Times New Roman" w:hAnsi="Times New Roman" w:cs="Times New Roman"/>
          <w:sz w:val="28"/>
        </w:rPr>
      </w:pPr>
      <w:bookmarkStart w:id="45" w:name="_Toc430946773"/>
      <w:bookmarkStart w:id="46" w:name="_Toc430947246"/>
      <w:bookmarkStart w:id="47" w:name="_Toc400529673"/>
      <w:proofErr w:type="gramStart"/>
      <w:r w:rsidRPr="00806C19">
        <w:rPr>
          <w:rFonts w:ascii="Times New Roman" w:hAnsi="Times New Roman" w:cs="Times New Roman"/>
          <w:sz w:val="28"/>
          <w:szCs w:val="28"/>
        </w:rPr>
        <w:t xml:space="preserve">- постоянная актуализация мер социальной поддержки населения в соответствии со сложившейся </w:t>
      </w:r>
      <w:r w:rsidRPr="00806C19">
        <w:rPr>
          <w:rFonts w:ascii="Times New Roman" w:hAnsi="Times New Roman" w:cs="Times New Roman"/>
          <w:sz w:val="28"/>
        </w:rPr>
        <w:t>в городском округе, в Камчатском крае и в целом в Российской Федерации социально-экономической ситуацией, а также в соответствии с изменениями, вносимыми в законодательные акты всех уровней;</w:t>
      </w:r>
      <w:bookmarkEnd w:id="45"/>
      <w:bookmarkEnd w:id="46"/>
      <w:proofErr w:type="gramEnd"/>
    </w:p>
    <w:p w:rsidR="006C02D6" w:rsidRPr="00806C19" w:rsidRDefault="006C02D6" w:rsidP="00806C19">
      <w:pPr>
        <w:spacing w:after="0"/>
        <w:rPr>
          <w:rFonts w:ascii="Times New Roman" w:hAnsi="Times New Roman" w:cs="Times New Roman"/>
          <w:sz w:val="28"/>
        </w:rPr>
      </w:pPr>
      <w:bookmarkStart w:id="48" w:name="_Toc430946774"/>
      <w:bookmarkStart w:id="49" w:name="_Toc430947247"/>
      <w:r w:rsidRPr="00806C19">
        <w:rPr>
          <w:rFonts w:ascii="Times New Roman" w:hAnsi="Times New Roman" w:cs="Times New Roman"/>
          <w:sz w:val="28"/>
        </w:rPr>
        <w:t>- э</w:t>
      </w:r>
      <w:r w:rsidRPr="00806C19">
        <w:rPr>
          <w:rFonts w:ascii="Times New Roman" w:hAnsi="Times New Roman" w:cs="Times New Roman"/>
          <w:sz w:val="28"/>
          <w:szCs w:val="28"/>
        </w:rPr>
        <w:t>ффективность мер социальной поддержки, направленных на снижение воздействия факторов социального риска;</w:t>
      </w:r>
      <w:bookmarkEnd w:id="48"/>
      <w:bookmarkEnd w:id="49"/>
    </w:p>
    <w:p w:rsidR="006C02D6" w:rsidRPr="00806C19" w:rsidRDefault="006C02D6" w:rsidP="00806C1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50" w:name="_Toc430946775"/>
      <w:bookmarkStart w:id="51" w:name="_Toc430947248"/>
      <w:r w:rsidRPr="00806C19">
        <w:rPr>
          <w:rFonts w:ascii="Times New Roman" w:hAnsi="Times New Roman" w:cs="Times New Roman"/>
          <w:color w:val="000000"/>
          <w:sz w:val="28"/>
          <w:szCs w:val="28"/>
        </w:rPr>
        <w:t>- р</w:t>
      </w:r>
      <w:r w:rsidRPr="00806C19">
        <w:rPr>
          <w:rFonts w:ascii="Times New Roman" w:hAnsi="Times New Roman" w:cs="Times New Roman"/>
          <w:sz w:val="28"/>
          <w:szCs w:val="28"/>
        </w:rPr>
        <w:t>ешение вопросов качества, количества и уровня предоставляемых мер социальной поддержки;</w:t>
      </w:r>
      <w:bookmarkEnd w:id="50"/>
      <w:bookmarkEnd w:id="51"/>
    </w:p>
    <w:p w:rsidR="006C02D6" w:rsidRPr="00806C19" w:rsidRDefault="006C02D6" w:rsidP="00806C1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52" w:name="_Toc430946776"/>
      <w:bookmarkStart w:id="53" w:name="_Toc430947249"/>
      <w:r w:rsidRPr="00806C19">
        <w:rPr>
          <w:rFonts w:ascii="Times New Roman" w:hAnsi="Times New Roman" w:cs="Times New Roman"/>
          <w:sz w:val="28"/>
          <w:szCs w:val="28"/>
        </w:rPr>
        <w:t>- внедрение новых форм и видов мер муниципальной социальной поддержки;</w:t>
      </w:r>
      <w:bookmarkEnd w:id="52"/>
      <w:bookmarkEnd w:id="53"/>
    </w:p>
    <w:p w:rsidR="006C02D6" w:rsidRPr="00806C19" w:rsidRDefault="006C02D6" w:rsidP="00806C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lastRenderedPageBreak/>
        <w:t xml:space="preserve">- обеспечение дополнительной социально-экономической помощью лиц пожилого возраста, лиц с ограниченными возможностями здоровья, семей с несовершеннолетними детьми; </w:t>
      </w:r>
    </w:p>
    <w:p w:rsidR="006C02D6" w:rsidRDefault="006C02D6" w:rsidP="00806C19">
      <w:pPr>
        <w:spacing w:after="0"/>
        <w:rPr>
          <w:szCs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t>- повышение качества и уровня жизни пожилых граждан, инвалидов и семей с несовершеннолетними детьми.</w:t>
      </w:r>
    </w:p>
    <w:p w:rsidR="006C02D6" w:rsidRDefault="006C02D6" w:rsidP="00622CB2">
      <w:pPr>
        <w:pStyle w:val="1"/>
        <w:spacing w:before="240" w:after="240"/>
      </w:pPr>
      <w:bookmarkStart w:id="54" w:name="_Toc430947250"/>
      <w:bookmarkStart w:id="55" w:name="_Toc465927697"/>
      <w:r w:rsidRPr="00A63AFB">
        <w:t>1</w:t>
      </w:r>
      <w:r w:rsidR="00180603" w:rsidRPr="00A63AFB">
        <w:t>3</w:t>
      </w:r>
      <w:r w:rsidRPr="00A63AFB">
        <w:t>. Образование</w:t>
      </w:r>
      <w:bookmarkEnd w:id="44"/>
      <w:bookmarkEnd w:id="47"/>
      <w:bookmarkEnd w:id="54"/>
      <w:bookmarkEnd w:id="55"/>
    </w:p>
    <w:p w:rsidR="00446662" w:rsidRDefault="00446662" w:rsidP="00446662">
      <w:pPr>
        <w:spacing w:after="0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6" w:name="_Toc368988895"/>
      <w:bookmarkStart w:id="57" w:name="_Toc400529674"/>
      <w:bookmarkStart w:id="58" w:name="_Toc430947251"/>
      <w:proofErr w:type="gramStart"/>
      <w:r w:rsidRPr="00E6097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Основными направлениями</w:t>
      </w:r>
      <w:r w:rsidRPr="00446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7EA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развития системы образования городского округа</w:t>
      </w:r>
      <w:r w:rsidRPr="00446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среднесрочный период являются обеспечение государственных гарантий доступности качественного дошкольного, начального общего, </w:t>
      </w:r>
      <w:r w:rsidRPr="00532AB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основного общего и среднего общего образования</w:t>
      </w:r>
      <w:r w:rsidRPr="00532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</w:t>
      </w:r>
      <w:r w:rsidRPr="00446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повышение качества дополнительного образования; повышение эффективности кадрового обеспечения системы образования; информатизация образовательного пространства; создание безопасного образовательного пространства; повышение эффективности управления образованием, в том числе эффективности расходования бюджетных средств.</w:t>
      </w:r>
      <w:proofErr w:type="gramEnd"/>
    </w:p>
    <w:p w:rsidR="00A31399" w:rsidRPr="00E6097D" w:rsidRDefault="00A31399" w:rsidP="00A31399">
      <w:pPr>
        <w:spacing w:after="0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A31399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Система образования городского округа представлена 94 муниципальными образовательными учреждения (далее - МОУ</w:t>
      </w:r>
      <w:r w:rsidRPr="00E6097D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) с общим числом обучающихся и воспитанников 26 954 человек, из них:</w:t>
      </w:r>
    </w:p>
    <w:p w:rsidR="00A31399" w:rsidRPr="00A31399" w:rsidRDefault="00A31399" w:rsidP="00A31399">
      <w:pPr>
        <w:spacing w:after="0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A31399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- 38 учреждений общего образования (далее -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A31399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ОУ);</w:t>
      </w:r>
    </w:p>
    <w:p w:rsidR="00A31399" w:rsidRPr="00A31399" w:rsidRDefault="00A31399" w:rsidP="00A31399">
      <w:pPr>
        <w:spacing w:after="0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A31399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- 47 учреждений дошкольного образования (далее - ДОУ);</w:t>
      </w:r>
    </w:p>
    <w:p w:rsidR="00A31399" w:rsidRDefault="00A31399" w:rsidP="00A31399">
      <w:pP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A31399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- 9 учреждений дополнительного образования детей (далее - УДОД).</w:t>
      </w:r>
    </w:p>
    <w:p w:rsidR="00A31399" w:rsidRPr="00622CB2" w:rsidRDefault="00A31399" w:rsidP="00A63AFB">
      <w:pPr>
        <w:jc w:val="center"/>
        <w:rPr>
          <w:rFonts w:ascii="Times New Roman" w:hAnsi="Times New Roman" w:cs="Times New Roman"/>
          <w:sz w:val="28"/>
        </w:rPr>
      </w:pPr>
      <w:bookmarkStart w:id="59" w:name="_Toc368988896"/>
      <w:bookmarkStart w:id="60" w:name="_Toc400529675"/>
      <w:bookmarkStart w:id="61" w:name="_Toc430947252"/>
      <w:bookmarkEnd w:id="56"/>
      <w:bookmarkEnd w:id="57"/>
      <w:bookmarkEnd w:id="58"/>
      <w:r w:rsidRPr="00622CB2">
        <w:rPr>
          <w:rFonts w:ascii="Times New Roman" w:hAnsi="Times New Roman" w:cs="Times New Roman"/>
          <w:sz w:val="28"/>
        </w:rPr>
        <w:t>Дошкольное образование</w:t>
      </w:r>
    </w:p>
    <w:p w:rsidR="00A31399" w:rsidRPr="00A31399" w:rsidRDefault="00A31399" w:rsidP="00A31399">
      <w:pPr>
        <w:spacing w:after="0"/>
        <w:rPr>
          <w:rFonts w:ascii="Times New Roman" w:hAnsi="Times New Roman"/>
          <w:sz w:val="28"/>
          <w:szCs w:val="28"/>
        </w:rPr>
      </w:pPr>
      <w:r w:rsidRPr="00A31399">
        <w:rPr>
          <w:rFonts w:ascii="Times New Roman" w:hAnsi="Times New Roman"/>
          <w:sz w:val="28"/>
          <w:szCs w:val="28"/>
        </w:rPr>
        <w:t xml:space="preserve">В 2015 году в городском округе услуги дошкольного образования предоставляли 47 муниципальных дошкольных образовательных учреждений и 5 общеобразовательных, в которых получали услугу по предоставлению дошкольного образования и (или) услугу по присмотру и уходу 9 478 воспитанников. В 9 дошкольных образовательных осуществлялось дополнительное образование 1 167 детей по дополнительным образовательным программам. </w:t>
      </w:r>
    </w:p>
    <w:p w:rsidR="00A31399" w:rsidRPr="00A31399" w:rsidRDefault="00A31399" w:rsidP="00A31399">
      <w:pPr>
        <w:spacing w:after="0"/>
        <w:ind w:firstLine="567"/>
        <w:rPr>
          <w:sz w:val="28"/>
          <w:szCs w:val="28"/>
        </w:rPr>
      </w:pPr>
      <w:proofErr w:type="gramStart"/>
      <w:r w:rsidRPr="00A31399">
        <w:rPr>
          <w:rFonts w:ascii="Times New Roman" w:hAnsi="Times New Roman" w:cs="Times New Roman"/>
          <w:sz w:val="28"/>
          <w:szCs w:val="28"/>
        </w:rPr>
        <w:t xml:space="preserve">Деятельность администрации Петропавловск-Камчатском городского округа в </w:t>
      </w:r>
      <w:r>
        <w:rPr>
          <w:rFonts w:ascii="Times New Roman" w:hAnsi="Times New Roman" w:cs="Times New Roman"/>
          <w:sz w:val="28"/>
          <w:szCs w:val="28"/>
        </w:rPr>
        <w:t>сфере</w:t>
      </w:r>
      <w:r w:rsidRPr="00A31399">
        <w:rPr>
          <w:rFonts w:ascii="Times New Roman" w:hAnsi="Times New Roman" w:cs="Times New Roman"/>
          <w:sz w:val="28"/>
          <w:szCs w:val="28"/>
        </w:rPr>
        <w:t xml:space="preserve"> развития дошкольного образования ориентирована на обеспечение сбалансированной системы образовательных услуг </w:t>
      </w:r>
      <w:r>
        <w:rPr>
          <w:rFonts w:ascii="Times New Roman" w:hAnsi="Times New Roman" w:cs="Times New Roman"/>
          <w:sz w:val="28"/>
          <w:szCs w:val="28"/>
        </w:rPr>
        <w:t xml:space="preserve">населению </w:t>
      </w:r>
      <w:r w:rsidRPr="00A31399">
        <w:rPr>
          <w:rFonts w:ascii="Times New Roman" w:hAnsi="Times New Roman" w:cs="Times New Roman"/>
          <w:sz w:val="28"/>
          <w:szCs w:val="28"/>
        </w:rPr>
        <w:t>- равенства возможностей в получении детьми качественного дошкольного образования, а также предоставление семье возможности выбора различных программ дошкольного образования и условий для развития</w:t>
      </w:r>
      <w:r w:rsidRPr="00A31399">
        <w:rPr>
          <w:sz w:val="28"/>
          <w:szCs w:val="28"/>
        </w:rPr>
        <w:t xml:space="preserve"> </w:t>
      </w:r>
      <w:r w:rsidRPr="00A31399">
        <w:rPr>
          <w:rFonts w:ascii="Times New Roman" w:hAnsi="Times New Roman" w:cs="Times New Roman"/>
          <w:sz w:val="28"/>
          <w:szCs w:val="28"/>
        </w:rPr>
        <w:t>ребёнка.</w:t>
      </w:r>
      <w:proofErr w:type="gramEnd"/>
    </w:p>
    <w:p w:rsidR="00A31399" w:rsidRPr="00E6097D" w:rsidRDefault="00A31399" w:rsidP="00A31399">
      <w:pPr>
        <w:spacing w:after="0"/>
        <w:rPr>
          <w:rFonts w:ascii="Times New Roman" w:hAnsi="Times New Roman"/>
          <w:sz w:val="28"/>
          <w:szCs w:val="28"/>
        </w:rPr>
      </w:pPr>
      <w:r w:rsidRPr="00A31399">
        <w:rPr>
          <w:rFonts w:ascii="Times New Roman" w:hAnsi="Times New Roman"/>
          <w:sz w:val="28"/>
          <w:szCs w:val="28"/>
        </w:rPr>
        <w:t xml:space="preserve">По оценке, количество детей, посещающих муниципальные дошкольные образовательные учреждения, в 2016 году </w:t>
      </w:r>
      <w:r w:rsidRPr="007C4201">
        <w:rPr>
          <w:rFonts w:ascii="Times New Roman" w:hAnsi="Times New Roman"/>
          <w:sz w:val="28"/>
          <w:szCs w:val="28"/>
        </w:rPr>
        <w:t xml:space="preserve">составит </w:t>
      </w:r>
      <w:r w:rsidRPr="00E6097D">
        <w:rPr>
          <w:rFonts w:ascii="Times New Roman" w:hAnsi="Times New Roman"/>
          <w:sz w:val="28"/>
          <w:szCs w:val="28"/>
        </w:rPr>
        <w:t>9 546 человек. К 2019 году ожидается увеличение этого показателя по варианту 1 Прогноза - до 9 986 человек, по варианту 2 Прогноза - до 10 246 человек.</w:t>
      </w:r>
      <w:r w:rsidR="007C4201" w:rsidRPr="00E6097D">
        <w:rPr>
          <w:rFonts w:ascii="Times New Roman" w:hAnsi="Times New Roman"/>
          <w:sz w:val="28"/>
          <w:szCs w:val="28"/>
        </w:rPr>
        <w:t xml:space="preserve"> </w:t>
      </w:r>
    </w:p>
    <w:p w:rsidR="00A31399" w:rsidRPr="00A31399" w:rsidRDefault="00A31399" w:rsidP="00A31399">
      <w:pPr>
        <w:spacing w:after="0"/>
        <w:rPr>
          <w:rFonts w:ascii="Times New Roman" w:hAnsi="Times New Roman"/>
          <w:sz w:val="28"/>
          <w:szCs w:val="28"/>
        </w:rPr>
      </w:pPr>
      <w:r w:rsidRPr="00A31399">
        <w:rPr>
          <w:rFonts w:ascii="Times New Roman" w:hAnsi="Times New Roman"/>
          <w:sz w:val="28"/>
          <w:szCs w:val="28"/>
        </w:rPr>
        <w:t>Главная задача, которая стоит в сфере дошкольного образования и которую предстоит решить в течение ближайших лет, это обеспечение потребности населения в дошкольных образовательных учреждениях.</w:t>
      </w:r>
    </w:p>
    <w:p w:rsidR="00A31399" w:rsidRPr="00A31399" w:rsidRDefault="00A31399" w:rsidP="00A31399">
      <w:pPr>
        <w:spacing w:after="0"/>
        <w:rPr>
          <w:rFonts w:ascii="Times New Roman" w:hAnsi="Times New Roman"/>
          <w:sz w:val="28"/>
          <w:szCs w:val="28"/>
        </w:rPr>
      </w:pPr>
      <w:r w:rsidRPr="00A31399">
        <w:rPr>
          <w:rFonts w:ascii="Times New Roman" w:hAnsi="Times New Roman"/>
          <w:sz w:val="28"/>
          <w:szCs w:val="28"/>
        </w:rPr>
        <w:t xml:space="preserve">В 2015 году, несмотря на прирост детского населения (дошкольного возраста) очередь в детские сады незначительно сократилась за счет </w:t>
      </w:r>
      <w:r w:rsidRPr="00A31399">
        <w:rPr>
          <w:rFonts w:ascii="Times New Roman" w:hAnsi="Times New Roman"/>
          <w:sz w:val="28"/>
          <w:szCs w:val="27"/>
        </w:rPr>
        <w:t>ввода в эксплуатацию нового детского сада на 220 мест</w:t>
      </w:r>
      <w:r w:rsidRPr="00A31399">
        <w:rPr>
          <w:rFonts w:ascii="Times New Roman" w:hAnsi="Times New Roman"/>
          <w:sz w:val="28"/>
          <w:szCs w:val="28"/>
        </w:rPr>
        <w:t xml:space="preserve"> по улице Виталия Кручины в микрорайоне Северо-Восток</w:t>
      </w:r>
      <w:r w:rsidRPr="00A31399">
        <w:rPr>
          <w:rFonts w:ascii="Times New Roman" w:hAnsi="Times New Roman"/>
          <w:sz w:val="28"/>
          <w:szCs w:val="27"/>
        </w:rPr>
        <w:t xml:space="preserve">. </w:t>
      </w:r>
      <w:r w:rsidRPr="00A31399">
        <w:rPr>
          <w:rFonts w:ascii="Times New Roman" w:hAnsi="Times New Roman"/>
          <w:sz w:val="28"/>
          <w:szCs w:val="28"/>
        </w:rPr>
        <w:t xml:space="preserve">К концу 2015 года полностью ликвидирована </w:t>
      </w:r>
      <w:r w:rsidRPr="00A31399">
        <w:rPr>
          <w:rFonts w:ascii="Times New Roman" w:hAnsi="Times New Roman"/>
          <w:sz w:val="28"/>
          <w:szCs w:val="28"/>
        </w:rPr>
        <w:lastRenderedPageBreak/>
        <w:t>очередь в детские сады для детей в возрасте от 3 до 7 лет. Охват детей услугами дошкольного образования в этой возрастной группе составил 100 %.</w:t>
      </w:r>
    </w:p>
    <w:p w:rsidR="00A31399" w:rsidRPr="00A31399" w:rsidRDefault="00A31399" w:rsidP="00A31399">
      <w:pPr>
        <w:spacing w:after="0"/>
        <w:rPr>
          <w:rFonts w:ascii="Times New Roman" w:hAnsi="Times New Roman"/>
          <w:sz w:val="28"/>
          <w:szCs w:val="27"/>
        </w:rPr>
      </w:pPr>
      <w:proofErr w:type="gramStart"/>
      <w:r w:rsidRPr="00A31399">
        <w:rPr>
          <w:rFonts w:ascii="Times New Roman" w:hAnsi="Times New Roman"/>
          <w:sz w:val="28"/>
          <w:szCs w:val="28"/>
        </w:rPr>
        <w:t xml:space="preserve">На 01.01.2016 в очереди в детские сады состояло 4 859 детей (на 12 меньше, чем на 01.01.2015), из них: </w:t>
      </w:r>
      <w:r w:rsidRPr="00A31399">
        <w:rPr>
          <w:rFonts w:ascii="Times New Roman" w:hAnsi="Times New Roman"/>
          <w:sz w:val="28"/>
          <w:szCs w:val="27"/>
        </w:rPr>
        <w:t>1 989 детей в возрасте от 1,5 до 3 лет, которым детский сад потребуется в самое ближайшее время.</w:t>
      </w:r>
      <w:proofErr w:type="gramEnd"/>
    </w:p>
    <w:p w:rsidR="00A31399" w:rsidRPr="00A31399" w:rsidRDefault="00A31399" w:rsidP="00A31399">
      <w:pPr>
        <w:tabs>
          <w:tab w:val="left" w:pos="45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31399">
        <w:rPr>
          <w:rFonts w:ascii="Times New Roman" w:hAnsi="Times New Roman"/>
          <w:sz w:val="28"/>
          <w:szCs w:val="28"/>
        </w:rPr>
        <w:t xml:space="preserve">В 2016 году и в плановом периоде (2017-2019 годы) прослеживается положительная динамика увеличения числа дошкольных мест, </w:t>
      </w:r>
      <w:r w:rsidRPr="00A31399">
        <w:rPr>
          <w:rFonts w:ascii="Times New Roman" w:hAnsi="Times New Roman" w:cs="Times New Roman"/>
          <w:sz w:val="28"/>
          <w:szCs w:val="28"/>
        </w:rPr>
        <w:t xml:space="preserve">вследствие открытия дополнительных групп в функционирующих ДОУ и строительства детских садов. В текущем году в ДОУ планируется открыть 10 групп с числом </w:t>
      </w:r>
      <w:r w:rsidRPr="00881B57">
        <w:rPr>
          <w:rFonts w:ascii="Times New Roman" w:hAnsi="Times New Roman" w:cs="Times New Roman"/>
          <w:sz w:val="28"/>
          <w:szCs w:val="28"/>
        </w:rPr>
        <w:t>мест - 303</w:t>
      </w:r>
      <w:r w:rsidRPr="00A3139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31399" w:rsidRPr="00A31399" w:rsidRDefault="00A31399" w:rsidP="00A31399">
      <w:pPr>
        <w:tabs>
          <w:tab w:val="left" w:pos="45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31399">
        <w:rPr>
          <w:rFonts w:ascii="Times New Roman" w:hAnsi="Times New Roman" w:cs="Times New Roman"/>
          <w:sz w:val="28"/>
          <w:szCs w:val="28"/>
        </w:rPr>
        <w:t xml:space="preserve">- в муниципальном бюджетном дошкольном образовательном учреждении (МБДОУ) «Детский сад № 63», МБДОУ «Детский сад № 45», МБДОУ «Детский сад № 5», МБДОУ «Детский сад № 38» и </w:t>
      </w:r>
      <w:proofErr w:type="gramStart"/>
      <w:r w:rsidRPr="00A31399">
        <w:rPr>
          <w:rFonts w:ascii="Times New Roman" w:hAnsi="Times New Roman" w:cs="Times New Roman"/>
          <w:sz w:val="28"/>
          <w:szCs w:val="28"/>
        </w:rPr>
        <w:t>муниципальном автономном</w:t>
      </w:r>
      <w:proofErr w:type="gramEnd"/>
      <w:r w:rsidRPr="00A31399">
        <w:rPr>
          <w:rFonts w:ascii="Times New Roman" w:hAnsi="Times New Roman" w:cs="Times New Roman"/>
          <w:sz w:val="28"/>
          <w:szCs w:val="28"/>
        </w:rPr>
        <w:t xml:space="preserve"> дошкольном образовательном учреждении (МАДОУ) «Детский сад № 4» - 188 дополнительных мест;</w:t>
      </w:r>
    </w:p>
    <w:p w:rsidR="00A31399" w:rsidRPr="00A31399" w:rsidRDefault="00A31399" w:rsidP="00A313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399">
        <w:rPr>
          <w:rFonts w:ascii="Times New Roman" w:hAnsi="Times New Roman" w:cs="Times New Roman"/>
          <w:sz w:val="28"/>
          <w:szCs w:val="28"/>
        </w:rPr>
        <w:t>- в здании библиотеки МАДОУ «Детский сад № 17 общеразвивающего вида» - 155 дополнительных мест.</w:t>
      </w:r>
    </w:p>
    <w:p w:rsidR="00A31399" w:rsidRPr="00A31399" w:rsidRDefault="00A31399" w:rsidP="00A31399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A31399">
        <w:rPr>
          <w:rFonts w:ascii="Times New Roman" w:hAnsi="Times New Roman" w:cs="Times New Roman"/>
          <w:sz w:val="28"/>
          <w:szCs w:val="28"/>
        </w:rPr>
        <w:t xml:space="preserve">В прогнозном периоде по варианту 1 Прогноза сеть ДОУ увеличится </w:t>
      </w:r>
      <w:r w:rsidRPr="00A31399">
        <w:rPr>
          <w:rFonts w:ascii="Times New Roman" w:hAnsi="Times New Roman"/>
          <w:sz w:val="28"/>
          <w:szCs w:val="28"/>
        </w:rPr>
        <w:t>за счет ввода в эксплуатацию двух детских садов с общим числом 440 мест (по ул. Арсеньева (в 2017 году, 180 мест) и по ул. Дальневосточная (в 2018 году, 260 мест).</w:t>
      </w:r>
      <w:proofErr w:type="gramEnd"/>
      <w:r w:rsidRPr="00A31399">
        <w:rPr>
          <w:rFonts w:ascii="Times New Roman" w:hAnsi="Times New Roman"/>
          <w:sz w:val="28"/>
          <w:szCs w:val="28"/>
        </w:rPr>
        <w:t xml:space="preserve"> По варианту 2 Прогноза предполагается в 2019 году ввод еще одного детского сада на 260 мест по ул. Савченко.</w:t>
      </w:r>
    </w:p>
    <w:p w:rsidR="00A31399" w:rsidRPr="006941EB" w:rsidRDefault="006941EB" w:rsidP="007C420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941EB">
        <w:rPr>
          <w:rFonts w:ascii="Times New Roman" w:hAnsi="Times New Roman" w:cs="Times New Roman"/>
          <w:sz w:val="28"/>
          <w:szCs w:val="28"/>
        </w:rPr>
        <w:t>В результате у</w:t>
      </w:r>
      <w:r w:rsidR="00A31399" w:rsidRPr="006941EB">
        <w:rPr>
          <w:rFonts w:ascii="Times New Roman" w:hAnsi="Times New Roman" w:cs="Times New Roman"/>
          <w:sz w:val="28"/>
          <w:szCs w:val="28"/>
        </w:rPr>
        <w:t>величение сети ДОУ в соответствии с плановыми сроками</w:t>
      </w:r>
      <w:r w:rsidRPr="006941EB">
        <w:rPr>
          <w:rFonts w:ascii="Times New Roman" w:hAnsi="Times New Roman" w:cs="Times New Roman"/>
          <w:sz w:val="28"/>
          <w:szCs w:val="28"/>
        </w:rPr>
        <w:t xml:space="preserve">, </w:t>
      </w:r>
      <w:r w:rsidR="00A31399" w:rsidRPr="006941EB">
        <w:rPr>
          <w:rFonts w:ascii="Times New Roman" w:hAnsi="Times New Roman" w:cs="Times New Roman"/>
          <w:sz w:val="28"/>
          <w:szCs w:val="28"/>
        </w:rPr>
        <w:t xml:space="preserve">охват детей в возрасте от 3 до 7 лет </w:t>
      </w:r>
      <w:r w:rsidRPr="006941EB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="00A31399" w:rsidRPr="006941EB">
        <w:rPr>
          <w:rFonts w:ascii="Times New Roman" w:hAnsi="Times New Roman" w:cs="Times New Roman"/>
          <w:sz w:val="28"/>
          <w:szCs w:val="28"/>
        </w:rPr>
        <w:t>соответствует целевому показателю, установленному указом Президента Российской Федерации от 07.05.2012 г. № 599 «О мерах по реализации государственной политики в области образования и науки» и составляет 100% и на достигнутом уровне будет сохраняться в течение всего прогнозируемого периода.</w:t>
      </w:r>
      <w:proofErr w:type="gramEnd"/>
    </w:p>
    <w:p w:rsidR="00A31399" w:rsidRPr="00A31399" w:rsidRDefault="00A31399" w:rsidP="00A3139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139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 году охват детей в возрасте 1-6 лет услугами муниципальных учреждений дошкольного образования составил 75,4 % от общей ч</w:t>
      </w:r>
      <w:r w:rsidR="00694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исленности детей этого возраста, </w:t>
      </w:r>
      <w:r w:rsidR="007C42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текущего года, </w:t>
      </w:r>
      <w:r w:rsidR="006941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оценке</w:t>
      </w:r>
      <w:r w:rsidR="006941EB" w:rsidRPr="0053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C4201" w:rsidRPr="0053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 w:rsidR="00B409CC" w:rsidRPr="00532AB2">
        <w:rPr>
          <w:rFonts w:ascii="Times New Roman" w:eastAsia="Times New Roman" w:hAnsi="Times New Roman" w:cs="Times New Roman"/>
          <w:sz w:val="28"/>
          <w:szCs w:val="28"/>
          <w:lang w:eastAsia="ru-RU"/>
        </w:rPr>
        <w:t>77,5 %.</w:t>
      </w:r>
      <w:r w:rsidR="00123F1B" w:rsidRPr="00532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1399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концу 2019 года планируется увеличить охват детей услугами ДОУ до 80,5 %.</w:t>
      </w:r>
      <w:proofErr w:type="gramEnd"/>
    </w:p>
    <w:p w:rsidR="00A31399" w:rsidRPr="00A31399" w:rsidRDefault="00A31399" w:rsidP="00A31399">
      <w:pPr>
        <w:spacing w:after="0"/>
        <w:rPr>
          <w:rFonts w:ascii="Times New Roman" w:hAnsi="Times New Roman"/>
          <w:sz w:val="28"/>
          <w:szCs w:val="28"/>
        </w:rPr>
      </w:pPr>
      <w:r w:rsidRPr="00A31399">
        <w:rPr>
          <w:rFonts w:ascii="Times New Roman" w:hAnsi="Times New Roman"/>
          <w:sz w:val="28"/>
          <w:szCs w:val="28"/>
        </w:rPr>
        <w:t>Одновременно с развитием муниципальной системой дошкольного образования, городским округом будет поддерживаться развитие негосударственного сектора, преимущественно за счет индивидуальных предпринимателей, оказывающих услуги дошкольного образования.</w:t>
      </w:r>
    </w:p>
    <w:p w:rsidR="00A31399" w:rsidRPr="00A31399" w:rsidRDefault="00A31399" w:rsidP="00A3139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31399">
        <w:rPr>
          <w:rFonts w:ascii="Times New Roman" w:hAnsi="Times New Roman" w:cs="Times New Roman"/>
          <w:sz w:val="28"/>
          <w:szCs w:val="28"/>
        </w:rPr>
        <w:t>В 2017–2019 годах продолжится работа по переходу ДОУ на реализацию основных общеобразовательных программ дошкольного образования в соответствии с требованиями федерального государственного образовательного стандарта дошкольного образования.</w:t>
      </w:r>
    </w:p>
    <w:p w:rsidR="00B409CC" w:rsidRDefault="00A31399" w:rsidP="00A3139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A31399">
        <w:rPr>
          <w:rFonts w:ascii="Times New Roman" w:hAnsi="Times New Roman"/>
          <w:sz w:val="28"/>
          <w:szCs w:val="28"/>
        </w:rPr>
        <w:t>Планируется проведение мероприятий по созданию в дошкольных образовательных учреждениях (в том числе в учреждениях, осуществляющих образовательную деятельность по адаптированным образовательным программам) условий для получения детьми-инвалидами качественного образования.</w:t>
      </w:r>
    </w:p>
    <w:p w:rsidR="00123F1B" w:rsidRPr="00123F1B" w:rsidRDefault="00123F1B" w:rsidP="00A3139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23F1B">
        <w:rPr>
          <w:rFonts w:ascii="Times New Roman" w:hAnsi="Times New Roman"/>
          <w:sz w:val="28"/>
          <w:szCs w:val="28"/>
        </w:rPr>
        <w:t>Продолжится совершенствование материально-технической базы ДОУ.</w:t>
      </w:r>
    </w:p>
    <w:p w:rsidR="00A31399" w:rsidRPr="00A31399" w:rsidRDefault="00A31399" w:rsidP="00A3139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на позитивные изменения, происходящие в сфере дошкольного образования, остаётся ряд проблем: </w:t>
      </w:r>
    </w:p>
    <w:p w:rsidR="00A31399" w:rsidRPr="00A31399" w:rsidRDefault="00A31399" w:rsidP="00A3139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3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сохраняется дефицит мест в дошкольных образовательных учреждениях;</w:t>
      </w:r>
    </w:p>
    <w:p w:rsidR="00A31399" w:rsidRDefault="00A31399" w:rsidP="00A3139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39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остается острой проблема кадрового обеспечения дошкольного образования, фактическая численность воспитателей в детских садах составляет не более 80 % от потребности.</w:t>
      </w:r>
    </w:p>
    <w:p w:rsidR="006C02D6" w:rsidRPr="00622CB2" w:rsidRDefault="006C02D6" w:rsidP="00622CB2">
      <w:pPr>
        <w:spacing w:before="240" w:after="240"/>
        <w:jc w:val="center"/>
        <w:rPr>
          <w:rFonts w:ascii="Times New Roman" w:hAnsi="Times New Roman" w:cs="Times New Roman"/>
          <w:sz w:val="28"/>
        </w:rPr>
      </w:pPr>
      <w:r w:rsidRPr="00622CB2">
        <w:rPr>
          <w:rFonts w:ascii="Times New Roman" w:hAnsi="Times New Roman" w:cs="Times New Roman"/>
          <w:sz w:val="28"/>
        </w:rPr>
        <w:t>Общее и дополнительное образование</w:t>
      </w:r>
      <w:bookmarkEnd w:id="59"/>
      <w:bookmarkEnd w:id="60"/>
      <w:bookmarkEnd w:id="61"/>
    </w:p>
    <w:p w:rsidR="006C02D6" w:rsidRPr="00201C40" w:rsidRDefault="006C02D6" w:rsidP="006C34D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201C40">
        <w:rPr>
          <w:rFonts w:ascii="Times New Roman" w:hAnsi="Times New Roman"/>
          <w:sz w:val="28"/>
          <w:szCs w:val="28"/>
        </w:rPr>
        <w:t xml:space="preserve">Муниципальная система общего и дополнительного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201C40">
        <w:rPr>
          <w:rFonts w:ascii="Times New Roman" w:hAnsi="Times New Roman"/>
          <w:sz w:val="28"/>
          <w:szCs w:val="28"/>
        </w:rPr>
        <w:t xml:space="preserve">включает в себя </w:t>
      </w:r>
      <w:r w:rsidRPr="00201C40">
        <w:rPr>
          <w:rFonts w:ascii="Times New Roman" w:hAnsi="Times New Roman"/>
          <w:bCs/>
          <w:sz w:val="28"/>
          <w:szCs w:val="28"/>
        </w:rPr>
        <w:t>54 учреждения общего и дополнительного образования:</w:t>
      </w:r>
    </w:p>
    <w:p w:rsidR="006C02D6" w:rsidRPr="00201C40" w:rsidRDefault="006C02D6" w:rsidP="006C34D4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201C40">
        <w:rPr>
          <w:rFonts w:ascii="Times New Roman" w:hAnsi="Times New Roman"/>
          <w:color w:val="000000"/>
          <w:sz w:val="28"/>
          <w:szCs w:val="28"/>
        </w:rPr>
        <w:t>- 28 средних общеобразовательных школ, в том числе 2 школы с углублённы</w:t>
      </w:r>
      <w:r w:rsidR="00A445CE">
        <w:rPr>
          <w:rFonts w:ascii="Times New Roman" w:hAnsi="Times New Roman"/>
          <w:color w:val="000000"/>
          <w:sz w:val="28"/>
          <w:szCs w:val="28"/>
        </w:rPr>
        <w:t>м изучением отдельных предметов</w:t>
      </w:r>
      <w:r w:rsidRPr="00201C40">
        <w:rPr>
          <w:rFonts w:ascii="Times New Roman" w:hAnsi="Times New Roman"/>
          <w:color w:val="000000"/>
          <w:sz w:val="28"/>
          <w:szCs w:val="28"/>
        </w:rPr>
        <w:t>;</w:t>
      </w:r>
    </w:p>
    <w:p w:rsidR="006C02D6" w:rsidRPr="00201C40" w:rsidRDefault="00A445CE" w:rsidP="006C34D4">
      <w:pPr>
        <w:tabs>
          <w:tab w:val="left" w:pos="1065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- 2 лицея</w:t>
      </w:r>
      <w:r w:rsidR="006C02D6" w:rsidRPr="00201C40">
        <w:rPr>
          <w:rFonts w:ascii="Times New Roman" w:hAnsi="Times New Roman"/>
          <w:color w:val="000000"/>
          <w:sz w:val="28"/>
          <w:szCs w:val="28"/>
        </w:rPr>
        <w:t>;</w:t>
      </w:r>
    </w:p>
    <w:p w:rsidR="006C02D6" w:rsidRPr="00201C40" w:rsidRDefault="006C02D6" w:rsidP="006C34D4">
      <w:pPr>
        <w:tabs>
          <w:tab w:val="left" w:pos="1065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 w:rsidRPr="00201C40">
        <w:rPr>
          <w:rFonts w:ascii="Times New Roman" w:hAnsi="Times New Roman"/>
          <w:color w:val="000000"/>
          <w:sz w:val="28"/>
          <w:szCs w:val="28"/>
        </w:rPr>
        <w:t>- 1 гимназия;</w:t>
      </w:r>
    </w:p>
    <w:p w:rsidR="006C02D6" w:rsidRPr="00201C40" w:rsidRDefault="00A445CE" w:rsidP="006C34D4">
      <w:pPr>
        <w:tabs>
          <w:tab w:val="left" w:pos="1065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- 2 вечерние (сменные) школы</w:t>
      </w:r>
      <w:r w:rsidR="006C02D6" w:rsidRPr="00201C40">
        <w:rPr>
          <w:rFonts w:ascii="Times New Roman" w:hAnsi="Times New Roman"/>
          <w:color w:val="000000"/>
          <w:sz w:val="28"/>
          <w:szCs w:val="28"/>
        </w:rPr>
        <w:t>);</w:t>
      </w:r>
      <w:proofErr w:type="gramEnd"/>
    </w:p>
    <w:p w:rsidR="006C02D6" w:rsidRPr="00201C40" w:rsidRDefault="006C02D6" w:rsidP="006C34D4">
      <w:pPr>
        <w:tabs>
          <w:tab w:val="left" w:pos="1065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 w:rsidRPr="00201C40">
        <w:rPr>
          <w:rFonts w:ascii="Times New Roman" w:hAnsi="Times New Roman"/>
          <w:color w:val="000000"/>
          <w:sz w:val="28"/>
          <w:szCs w:val="28"/>
        </w:rPr>
        <w:t>- 4 основные общеобразовательные школы;</w:t>
      </w:r>
    </w:p>
    <w:p w:rsidR="006C02D6" w:rsidRPr="000B2F6B" w:rsidRDefault="006C02D6" w:rsidP="006C34D4">
      <w:pPr>
        <w:spacing w:after="0"/>
        <w:rPr>
          <w:rFonts w:ascii="Times New Roman" w:hAnsi="Times New Roman"/>
          <w:sz w:val="28"/>
          <w:szCs w:val="28"/>
        </w:rPr>
      </w:pPr>
      <w:r w:rsidRPr="00201C40">
        <w:rPr>
          <w:rFonts w:ascii="Times New Roman" w:hAnsi="Times New Roman"/>
          <w:color w:val="000000"/>
          <w:sz w:val="28"/>
          <w:szCs w:val="28"/>
        </w:rPr>
        <w:t xml:space="preserve">- 1 образовательное учреждение для детей дошкольного и младшего </w:t>
      </w:r>
      <w:r w:rsidRPr="000B2F6B">
        <w:rPr>
          <w:rFonts w:ascii="Times New Roman" w:hAnsi="Times New Roman"/>
          <w:color w:val="000000"/>
          <w:sz w:val="28"/>
          <w:szCs w:val="28"/>
        </w:rPr>
        <w:t>школьного возраста («Начальная школа – детский сад № 52»);</w:t>
      </w:r>
    </w:p>
    <w:p w:rsidR="006C02D6" w:rsidRPr="00691355" w:rsidRDefault="006C02D6" w:rsidP="00881B57">
      <w:pPr>
        <w:rPr>
          <w:rFonts w:ascii="Times New Roman" w:hAnsi="Times New Roman"/>
          <w:sz w:val="28"/>
          <w:szCs w:val="28"/>
        </w:rPr>
      </w:pPr>
      <w:r w:rsidRPr="000B2F6B">
        <w:rPr>
          <w:rFonts w:ascii="Times New Roman" w:hAnsi="Times New Roman"/>
          <w:sz w:val="28"/>
          <w:szCs w:val="28"/>
        </w:rPr>
        <w:t>- 16 учреждений дополнительного образования.</w:t>
      </w:r>
    </w:p>
    <w:p w:rsidR="00681421" w:rsidRPr="00681421" w:rsidRDefault="006C02D6" w:rsidP="00681421">
      <w:pPr>
        <w:spacing w:after="0"/>
        <w:rPr>
          <w:rFonts w:ascii="Times New Roman" w:hAnsi="Times New Roman"/>
          <w:sz w:val="28"/>
          <w:szCs w:val="28"/>
        </w:rPr>
      </w:pPr>
      <w:r w:rsidRPr="00013D03">
        <w:rPr>
          <w:rFonts w:ascii="Times New Roman" w:hAnsi="Times New Roman"/>
          <w:sz w:val="28"/>
          <w:szCs w:val="28"/>
        </w:rPr>
        <w:t xml:space="preserve">Общее число обучающихся в дневных общеобразовательных учреждениях на начало 2015/2016 учебного года составило </w:t>
      </w:r>
      <w:r>
        <w:rPr>
          <w:rFonts w:ascii="Times New Roman" w:hAnsi="Times New Roman"/>
          <w:sz w:val="28"/>
          <w:szCs w:val="28"/>
        </w:rPr>
        <w:t>17 832</w:t>
      </w:r>
      <w:r w:rsidRPr="00013D03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013D03">
        <w:rPr>
          <w:rFonts w:ascii="Times New Roman" w:hAnsi="Times New Roman"/>
          <w:sz w:val="28"/>
          <w:szCs w:val="28"/>
        </w:rPr>
        <w:t xml:space="preserve">, что на </w:t>
      </w:r>
      <w:r>
        <w:rPr>
          <w:rFonts w:ascii="Times New Roman" w:hAnsi="Times New Roman"/>
          <w:sz w:val="28"/>
          <w:szCs w:val="28"/>
        </w:rPr>
        <w:t xml:space="preserve">50 </w:t>
      </w:r>
      <w:r w:rsidRPr="00013D03">
        <w:rPr>
          <w:rFonts w:ascii="Times New Roman" w:hAnsi="Times New Roman"/>
          <w:sz w:val="28"/>
          <w:szCs w:val="28"/>
        </w:rPr>
        <w:t>человек больше, чем в предшествующем учебном году</w:t>
      </w:r>
      <w:r w:rsidRPr="003D4C1F">
        <w:rPr>
          <w:rFonts w:ascii="Times New Roman" w:hAnsi="Times New Roman"/>
          <w:sz w:val="28"/>
          <w:szCs w:val="28"/>
        </w:rPr>
        <w:t>.</w:t>
      </w:r>
      <w:r w:rsidR="00CE4DF7" w:rsidRPr="003D4C1F">
        <w:rPr>
          <w:rFonts w:ascii="Times New Roman" w:hAnsi="Times New Roman"/>
          <w:sz w:val="28"/>
          <w:szCs w:val="28"/>
        </w:rPr>
        <w:t xml:space="preserve"> </w:t>
      </w:r>
      <w:r w:rsidR="00CE4DF7" w:rsidRPr="003D4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конца 2016 года численность обучающихся увеличится в связи с поступлением в </w:t>
      </w:r>
      <w:r w:rsidR="002F514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</w:t>
      </w:r>
      <w:r w:rsidR="00CE4DF7" w:rsidRPr="003D4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многочисленной возрастной </w:t>
      </w:r>
      <w:r w:rsidR="006C6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группы детей 2009 года рождения </w:t>
      </w:r>
      <w:r w:rsidR="006C6BED" w:rsidRPr="00152A3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450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6BED" w:rsidRPr="00152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6BED" w:rsidRPr="00152A3D">
        <w:rPr>
          <w:rFonts w:ascii="Times New Roman" w:hAnsi="Times New Roman"/>
          <w:sz w:val="28"/>
          <w:szCs w:val="28"/>
        </w:rPr>
        <w:t xml:space="preserve">по </w:t>
      </w:r>
      <w:r w:rsidR="002F5146" w:rsidRPr="00152A3D">
        <w:rPr>
          <w:rFonts w:ascii="Times New Roman" w:hAnsi="Times New Roman"/>
          <w:sz w:val="28"/>
          <w:szCs w:val="28"/>
        </w:rPr>
        <w:t>оценке</w:t>
      </w:r>
      <w:r w:rsidR="00A44506">
        <w:rPr>
          <w:rFonts w:ascii="Times New Roman" w:hAnsi="Times New Roman"/>
          <w:sz w:val="28"/>
          <w:szCs w:val="28"/>
        </w:rPr>
        <w:t>,</w:t>
      </w:r>
      <w:r w:rsidR="002F5146" w:rsidRPr="00152A3D">
        <w:rPr>
          <w:rFonts w:ascii="Times New Roman" w:hAnsi="Times New Roman"/>
          <w:sz w:val="28"/>
          <w:szCs w:val="28"/>
        </w:rPr>
        <w:t xml:space="preserve"> составит 18 050 человек. </w:t>
      </w:r>
      <w:r w:rsidR="00681421" w:rsidRPr="00681421">
        <w:rPr>
          <w:rFonts w:ascii="Times New Roman" w:hAnsi="Times New Roman"/>
          <w:sz w:val="28"/>
          <w:szCs w:val="28"/>
        </w:rPr>
        <w:t>В 2017-2019 годах, с учетом развития демографических процессов, прогнозируется рост численность обучающихся.</w:t>
      </w:r>
    </w:p>
    <w:p w:rsidR="00681421" w:rsidRPr="005E11D7" w:rsidRDefault="00681421" w:rsidP="00681421">
      <w:pPr>
        <w:spacing w:after="0"/>
        <w:rPr>
          <w:rFonts w:ascii="Times New Roman" w:hAnsi="Times New Roman"/>
          <w:sz w:val="28"/>
          <w:szCs w:val="28"/>
        </w:rPr>
      </w:pPr>
      <w:r w:rsidRPr="00681421">
        <w:rPr>
          <w:rFonts w:ascii="Times New Roman" w:hAnsi="Times New Roman"/>
          <w:sz w:val="28"/>
          <w:szCs w:val="28"/>
        </w:rPr>
        <w:t>Согласно варианту 1 Прогноза предполагается, что в 2019 году в образовательных учреждениях городского округа будет обучаться 18 500 человек, что на 3,7 % больше чем в 2015 году. Согласно варианту 2 Прогноза: численность обучающихся увеличиться на 4,3 % к 2015 году и составит 18 600 человек.</w:t>
      </w:r>
    </w:p>
    <w:p w:rsidR="00681421" w:rsidRDefault="00681421" w:rsidP="00681421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По, оценке, д</w:t>
      </w:r>
      <w:r w:rsidRPr="00681421">
        <w:rPr>
          <w:rFonts w:ascii="Times New Roman" w:hAnsi="Times New Roman" w:cs="Times New Roman"/>
          <w:sz w:val="28"/>
          <w:szCs w:val="28"/>
        </w:rPr>
        <w:t>оля обучающихся</w:t>
      </w:r>
      <w:r w:rsidR="00F54972">
        <w:rPr>
          <w:rFonts w:ascii="Times New Roman" w:hAnsi="Times New Roman" w:cs="Times New Roman"/>
          <w:sz w:val="28"/>
          <w:szCs w:val="28"/>
        </w:rPr>
        <w:t>,</w:t>
      </w:r>
      <w:r w:rsidRPr="00681421">
        <w:rPr>
          <w:rFonts w:ascii="Times New Roman" w:hAnsi="Times New Roman" w:cs="Times New Roman"/>
          <w:sz w:val="28"/>
          <w:szCs w:val="28"/>
        </w:rPr>
        <w:t xml:space="preserve"> </w:t>
      </w:r>
      <w:r w:rsidR="00F54972" w:rsidRPr="00FA17EA">
        <w:rPr>
          <w:rFonts w:ascii="Times New Roman" w:hAnsi="Times New Roman" w:cs="Times New Roman"/>
          <w:sz w:val="28"/>
          <w:szCs w:val="28"/>
        </w:rPr>
        <w:t xml:space="preserve">занимающихся во вторую смену, в общей </w:t>
      </w:r>
      <w:proofErr w:type="gramStart"/>
      <w:r w:rsidR="00F54972" w:rsidRPr="00FA17EA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="00F54972" w:rsidRPr="00FA17EA">
        <w:rPr>
          <w:rFonts w:ascii="Times New Roman" w:hAnsi="Times New Roman" w:cs="Times New Roman"/>
          <w:sz w:val="28"/>
          <w:szCs w:val="28"/>
        </w:rPr>
        <w:t xml:space="preserve"> обучающихся в МОУ</w:t>
      </w:r>
      <w:r w:rsidR="00F5497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F54972" w:rsidRPr="00FA17EA">
        <w:rPr>
          <w:rFonts w:ascii="Times New Roman" w:hAnsi="Times New Roman" w:cs="Times New Roman"/>
          <w:sz w:val="28"/>
          <w:szCs w:val="28"/>
        </w:rPr>
        <w:t>доля обучающихся, занимающихся во вторую смену</w:t>
      </w:r>
      <w:r w:rsidR="00F54972">
        <w:rPr>
          <w:rFonts w:ascii="Times New Roman" w:hAnsi="Times New Roman" w:cs="Times New Roman"/>
          <w:sz w:val="28"/>
          <w:szCs w:val="28"/>
        </w:rPr>
        <w:t>)</w:t>
      </w:r>
      <w:r w:rsidR="008E1E7B">
        <w:rPr>
          <w:rFonts w:ascii="Times New Roman" w:hAnsi="Times New Roman" w:cs="Times New Roman"/>
          <w:sz w:val="28"/>
          <w:szCs w:val="28"/>
        </w:rPr>
        <w:t>,</w:t>
      </w:r>
      <w:r w:rsidR="00F54972">
        <w:rPr>
          <w:rFonts w:ascii="Times New Roman" w:hAnsi="Times New Roman" w:cs="Times New Roman"/>
          <w:sz w:val="28"/>
          <w:szCs w:val="28"/>
        </w:rPr>
        <w:t xml:space="preserve"> в 2016 году</w:t>
      </w:r>
      <w:r w:rsidRPr="00681421">
        <w:rPr>
          <w:rFonts w:ascii="Times New Roman" w:hAnsi="Times New Roman" w:cs="Times New Roman"/>
          <w:sz w:val="28"/>
          <w:szCs w:val="28"/>
        </w:rPr>
        <w:t xml:space="preserve"> составит 2,2 %</w:t>
      </w:r>
      <w:r w:rsidR="00F54972">
        <w:rPr>
          <w:rFonts w:ascii="Times New Roman" w:hAnsi="Times New Roman" w:cs="Times New Roman"/>
          <w:sz w:val="28"/>
          <w:szCs w:val="28"/>
        </w:rPr>
        <w:t xml:space="preserve"> </w:t>
      </w:r>
      <w:r w:rsidR="00F54972" w:rsidRPr="00FA17EA">
        <w:rPr>
          <w:rFonts w:ascii="Times New Roman" w:hAnsi="Times New Roman" w:cs="Times New Roman"/>
          <w:sz w:val="28"/>
          <w:szCs w:val="28"/>
        </w:rPr>
        <w:t>(2</w:t>
      </w:r>
      <w:r w:rsidR="00F54972">
        <w:rPr>
          <w:rFonts w:ascii="Times New Roman" w:hAnsi="Times New Roman" w:cs="Times New Roman"/>
          <w:sz w:val="28"/>
          <w:szCs w:val="28"/>
        </w:rPr>
        <w:t xml:space="preserve"> </w:t>
      </w:r>
      <w:r w:rsidR="00F54972" w:rsidRPr="00FA17EA">
        <w:rPr>
          <w:rFonts w:ascii="Times New Roman" w:hAnsi="Times New Roman" w:cs="Times New Roman"/>
          <w:sz w:val="28"/>
          <w:szCs w:val="28"/>
        </w:rPr>
        <w:t>198 человек).</w:t>
      </w:r>
      <w:r>
        <w:rPr>
          <w:sz w:val="28"/>
          <w:szCs w:val="28"/>
        </w:rPr>
        <w:t xml:space="preserve"> </w:t>
      </w:r>
      <w:r w:rsidRPr="00FA17EA">
        <w:rPr>
          <w:rFonts w:ascii="Times New Roman" w:hAnsi="Times New Roman" w:cs="Times New Roman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sz w:val="28"/>
          <w:szCs w:val="28"/>
        </w:rPr>
        <w:t xml:space="preserve">показателя </w:t>
      </w:r>
      <w:r w:rsidRPr="00FA17EA">
        <w:rPr>
          <w:rFonts w:ascii="Times New Roman" w:hAnsi="Times New Roman" w:cs="Times New Roman"/>
          <w:sz w:val="28"/>
          <w:szCs w:val="28"/>
        </w:rPr>
        <w:t>на 0,2 процентных пункта по отношению к предыдущему году обусловлено открытием СОШ № 8 после проведения работ по сейсмоусилению.</w:t>
      </w:r>
    </w:p>
    <w:p w:rsidR="00F54972" w:rsidRDefault="00F54972" w:rsidP="00F54972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54972">
        <w:rPr>
          <w:rFonts w:ascii="Times New Roman" w:hAnsi="Times New Roman" w:cs="Times New Roman"/>
          <w:sz w:val="28"/>
          <w:szCs w:val="28"/>
        </w:rPr>
        <w:t>На увеличение доли обучающихся, занимающихся во вторую смену, в 2017 году, кроме роста общей численности обучающихся, окажет влияние увеличение загруженности спортивных залов в некоторых МОУ в связи с введением в учебные планы общеобразовательных учреждений обязательного третьего часа физической культуры.</w:t>
      </w:r>
    </w:p>
    <w:p w:rsidR="00290DF2" w:rsidRPr="00254C5D" w:rsidRDefault="00F54972" w:rsidP="00290DF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FA17EA">
        <w:rPr>
          <w:rFonts w:ascii="Times New Roman" w:hAnsi="Times New Roman" w:cs="Times New Roman"/>
          <w:sz w:val="28"/>
          <w:szCs w:val="28"/>
        </w:rPr>
        <w:t xml:space="preserve"> 2018-2019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A17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прогнозируется</w:t>
      </w:r>
      <w:r w:rsidRPr="00FA17EA">
        <w:rPr>
          <w:rFonts w:ascii="Times New Roman" w:hAnsi="Times New Roman" w:cs="Times New Roman"/>
          <w:sz w:val="28"/>
          <w:szCs w:val="28"/>
        </w:rPr>
        <w:t xml:space="preserve"> снижение доли обучающихся</w:t>
      </w:r>
      <w:r>
        <w:rPr>
          <w:rFonts w:ascii="Times New Roman" w:hAnsi="Times New Roman" w:cs="Times New Roman"/>
          <w:sz w:val="28"/>
          <w:szCs w:val="28"/>
        </w:rPr>
        <w:t>, занимающихся во вторую мену до уровня 10,3 % к началу 2020 года в связи с вводом в эксплуатацию новых зданий школ.</w:t>
      </w:r>
      <w:r w:rsidR="008E1E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90DF2">
        <w:rPr>
          <w:rFonts w:ascii="Times New Roman" w:hAnsi="Times New Roman" w:cs="Times New Roman"/>
          <w:sz w:val="28"/>
          <w:szCs w:val="28"/>
        </w:rPr>
        <w:t xml:space="preserve"> </w:t>
      </w:r>
      <w:r w:rsidR="00290DF2" w:rsidRPr="00254C5D">
        <w:rPr>
          <w:rFonts w:ascii="Times New Roman" w:hAnsi="Times New Roman" w:cs="Times New Roman"/>
          <w:sz w:val="28"/>
          <w:szCs w:val="28"/>
        </w:rPr>
        <w:t>среднесрочной перспективе планируется ввод</w:t>
      </w:r>
      <w:r w:rsidR="00290DF2">
        <w:rPr>
          <w:rFonts w:ascii="Times New Roman" w:hAnsi="Times New Roman" w:cs="Times New Roman"/>
          <w:sz w:val="28"/>
          <w:szCs w:val="28"/>
        </w:rPr>
        <w:t xml:space="preserve"> </w:t>
      </w:r>
      <w:r w:rsidR="00290DF2" w:rsidRPr="00254C5D">
        <w:rPr>
          <w:rFonts w:ascii="Times New Roman" w:hAnsi="Times New Roman" w:cs="Times New Roman"/>
          <w:sz w:val="28"/>
          <w:szCs w:val="28"/>
        </w:rPr>
        <w:t>в эксплуатацию дополнительных зданий при СОШ №</w:t>
      </w:r>
      <w:r w:rsidR="00290DF2">
        <w:rPr>
          <w:rFonts w:ascii="Times New Roman" w:hAnsi="Times New Roman" w:cs="Times New Roman"/>
          <w:sz w:val="28"/>
          <w:szCs w:val="28"/>
        </w:rPr>
        <w:t>№</w:t>
      </w:r>
      <w:r w:rsidR="00290DF2" w:rsidRPr="00254C5D">
        <w:rPr>
          <w:rFonts w:ascii="Times New Roman" w:hAnsi="Times New Roman" w:cs="Times New Roman"/>
          <w:sz w:val="28"/>
          <w:szCs w:val="28"/>
        </w:rPr>
        <w:t xml:space="preserve"> </w:t>
      </w:r>
      <w:r w:rsidR="00290DF2">
        <w:rPr>
          <w:rFonts w:ascii="Times New Roman" w:hAnsi="Times New Roman" w:cs="Times New Roman"/>
          <w:sz w:val="28"/>
          <w:szCs w:val="28"/>
        </w:rPr>
        <w:t xml:space="preserve">12, </w:t>
      </w:r>
      <w:r w:rsidR="00290DF2" w:rsidRPr="00254C5D">
        <w:rPr>
          <w:rFonts w:ascii="Times New Roman" w:hAnsi="Times New Roman" w:cs="Times New Roman"/>
          <w:sz w:val="28"/>
          <w:szCs w:val="28"/>
        </w:rPr>
        <w:t xml:space="preserve">33, 39, а также новых общеобразовательных учреждений: </w:t>
      </w:r>
      <w:r w:rsidR="00290DF2" w:rsidRPr="00254C5D"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="00290DF2" w:rsidRPr="00254C5D">
        <w:rPr>
          <w:rFonts w:ascii="Times New Roman" w:hAnsi="Times New Roman"/>
          <w:sz w:val="28"/>
          <w:szCs w:val="28"/>
        </w:rPr>
        <w:lastRenderedPageBreak/>
        <w:t>школы по проспекту Рыбаков и начальной школы в районе Космического проезда.</w:t>
      </w:r>
      <w:r w:rsidR="00290DF2">
        <w:rPr>
          <w:rFonts w:ascii="Times New Roman" w:hAnsi="Times New Roman"/>
          <w:sz w:val="28"/>
          <w:szCs w:val="28"/>
        </w:rPr>
        <w:t xml:space="preserve"> </w:t>
      </w:r>
    </w:p>
    <w:p w:rsidR="00807FB7" w:rsidRPr="00807FB7" w:rsidRDefault="00807FB7" w:rsidP="00F54972">
      <w:pPr>
        <w:pStyle w:val="afb"/>
        <w:ind w:firstLine="567"/>
        <w:jc w:val="both"/>
        <w:rPr>
          <w:sz w:val="28"/>
          <w:szCs w:val="28"/>
        </w:rPr>
      </w:pPr>
      <w:proofErr w:type="gramStart"/>
      <w:r w:rsidRPr="00F552EF">
        <w:rPr>
          <w:sz w:val="28"/>
          <w:szCs w:val="28"/>
        </w:rPr>
        <w:t>Переводу на односменный режим организации учебных занятий, в соответствии с постановлением Российской Федерации от 15.04.2014 № 295 «Об утверждении государственной программы Российской Федерации «Развитие образования» на 2013–2020 годы»,</w:t>
      </w:r>
      <w:r>
        <w:rPr>
          <w:sz w:val="28"/>
          <w:szCs w:val="28"/>
        </w:rPr>
        <w:t xml:space="preserve"> </w:t>
      </w:r>
      <w:r w:rsidRPr="00F552EF">
        <w:rPr>
          <w:sz w:val="28"/>
          <w:szCs w:val="28"/>
        </w:rPr>
        <w:t>препятствует:</w:t>
      </w:r>
      <w:r w:rsidR="00CF3C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несоответствие большинства зданий школ современным </w:t>
      </w:r>
      <w:r w:rsidRPr="001E2903">
        <w:rPr>
          <w:sz w:val="28"/>
          <w:szCs w:val="28"/>
        </w:rPr>
        <w:t>требованиям,</w:t>
      </w:r>
      <w:r w:rsidR="001E2903" w:rsidRPr="001E2903">
        <w:rPr>
          <w:sz w:val="28"/>
          <w:szCs w:val="28"/>
        </w:rPr>
        <w:t xml:space="preserve"> </w:t>
      </w:r>
      <w:r w:rsidR="00F54972" w:rsidRPr="000B33A4">
        <w:rPr>
          <w:sz w:val="28"/>
          <w:szCs w:val="28"/>
        </w:rPr>
        <w:t>снижением мощности имеющихся учреждений в связи с изменением требований к оснащению и организации учебного процесса</w:t>
      </w:r>
      <w:r w:rsidR="00F54972">
        <w:rPr>
          <w:spacing w:val="-8"/>
          <w:sz w:val="28"/>
          <w:szCs w:val="28"/>
        </w:rPr>
        <w:t xml:space="preserve">, </w:t>
      </w:r>
      <w:r w:rsidR="001E2903" w:rsidRPr="001E2903">
        <w:rPr>
          <w:bCs/>
          <w:sz w:val="28"/>
          <w:szCs w:val="28"/>
        </w:rPr>
        <w:t xml:space="preserve">значительная степень </w:t>
      </w:r>
      <w:r w:rsidR="001E2903" w:rsidRPr="008C2EE9">
        <w:rPr>
          <w:bCs/>
          <w:sz w:val="28"/>
          <w:szCs w:val="28"/>
        </w:rPr>
        <w:t>изношенности зданий,</w:t>
      </w:r>
      <w:r w:rsidRPr="008C2EE9">
        <w:rPr>
          <w:sz w:val="28"/>
          <w:szCs w:val="28"/>
        </w:rPr>
        <w:t xml:space="preserve"> отсутствие </w:t>
      </w:r>
      <w:r w:rsidRPr="001E2903">
        <w:rPr>
          <w:sz w:val="28"/>
          <w:szCs w:val="28"/>
        </w:rPr>
        <w:t>строительства новых школьных зданий на</w:t>
      </w:r>
      <w:r w:rsidRPr="00F552EF">
        <w:rPr>
          <w:sz w:val="28"/>
          <w:szCs w:val="28"/>
        </w:rPr>
        <w:t xml:space="preserve"> протяжении</w:t>
      </w:r>
      <w:proofErr w:type="gramEnd"/>
      <w:r w:rsidRPr="00F552EF">
        <w:rPr>
          <w:sz w:val="28"/>
          <w:szCs w:val="28"/>
        </w:rPr>
        <w:t xml:space="preserve"> </w:t>
      </w:r>
      <w:r w:rsidRPr="00807FB7">
        <w:rPr>
          <w:sz w:val="28"/>
          <w:szCs w:val="28"/>
        </w:rPr>
        <w:t>двух последних десятилетий.</w:t>
      </w:r>
    </w:p>
    <w:p w:rsidR="00945293" w:rsidRPr="00307533" w:rsidRDefault="00945293" w:rsidP="009452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533">
        <w:rPr>
          <w:rFonts w:ascii="Times New Roman" w:hAnsi="Times New Roman"/>
          <w:sz w:val="28"/>
          <w:szCs w:val="28"/>
        </w:rPr>
        <w:t xml:space="preserve">В муниципальных общеобразовательных учреждениях (далее - МОУ) поэтапно внедряется </w:t>
      </w:r>
      <w:proofErr w:type="gramStart"/>
      <w:r w:rsidRPr="00307533">
        <w:rPr>
          <w:rFonts w:ascii="Times New Roman" w:hAnsi="Times New Roman"/>
          <w:sz w:val="28"/>
          <w:szCs w:val="28"/>
        </w:rPr>
        <w:t>федеральный</w:t>
      </w:r>
      <w:proofErr w:type="gramEnd"/>
      <w:r w:rsidRPr="00307533">
        <w:rPr>
          <w:rFonts w:ascii="Times New Roman" w:hAnsi="Times New Roman"/>
          <w:sz w:val="28"/>
          <w:szCs w:val="28"/>
        </w:rPr>
        <w:t xml:space="preserve"> государственный образовательный стандарта (далее - ФГОС) основного общего образования. </w:t>
      </w:r>
      <w:r w:rsidRPr="00307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2016 года на федеральный государственный образовательный стандарт основного общего образования будут переведены 45 % обучающихся, в 2017 году – 68 %, в 2018 – 87 %, 2019 годах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 </w:t>
      </w:r>
      <w:r w:rsidRPr="00307533">
        <w:rPr>
          <w:rFonts w:ascii="Times New Roman" w:eastAsia="Times New Roman" w:hAnsi="Times New Roman" w:cs="Times New Roman"/>
          <w:sz w:val="28"/>
          <w:szCs w:val="28"/>
          <w:lang w:eastAsia="ru-RU"/>
        </w:rPr>
        <w:t>% обучающихся.</w:t>
      </w:r>
      <w:r w:rsidRPr="00307533">
        <w:rPr>
          <w:rFonts w:ascii="Segoe UI" w:eastAsia="Times New Roman" w:hAnsi="Segoe UI" w:cs="Segoe UI"/>
          <w:sz w:val="20"/>
          <w:szCs w:val="20"/>
          <w:lang w:eastAsia="ru-RU"/>
        </w:rPr>
        <w:t xml:space="preserve"> </w:t>
      </w:r>
    </w:p>
    <w:p w:rsidR="003232EE" w:rsidRPr="003232EE" w:rsidRDefault="00A73892" w:rsidP="0094529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D223B">
        <w:rPr>
          <w:rFonts w:ascii="Times New Roman" w:hAnsi="Times New Roman"/>
          <w:sz w:val="28"/>
          <w:szCs w:val="28"/>
        </w:rPr>
        <w:t xml:space="preserve">В целях создания условий для перехода на </w:t>
      </w:r>
      <w:r>
        <w:rPr>
          <w:rFonts w:ascii="Times New Roman" w:hAnsi="Times New Roman"/>
          <w:sz w:val="28"/>
          <w:szCs w:val="28"/>
        </w:rPr>
        <w:t xml:space="preserve">обучение по </w:t>
      </w:r>
      <w:r w:rsidR="006A0279">
        <w:rPr>
          <w:rFonts w:ascii="Times New Roman" w:hAnsi="Times New Roman"/>
          <w:sz w:val="28"/>
          <w:szCs w:val="28"/>
        </w:rPr>
        <w:t>ФГОС</w:t>
      </w:r>
      <w:r w:rsidR="00561563">
        <w:rPr>
          <w:rFonts w:ascii="Times New Roman" w:hAnsi="Times New Roman"/>
          <w:sz w:val="28"/>
          <w:szCs w:val="28"/>
        </w:rPr>
        <w:t xml:space="preserve"> и </w:t>
      </w:r>
      <w:r w:rsidR="006A0279">
        <w:rPr>
          <w:rFonts w:ascii="Times New Roman" w:hAnsi="Times New Roman" w:cs="Times New Roman"/>
          <w:sz w:val="28"/>
          <w:szCs w:val="28"/>
        </w:rPr>
        <w:t>пр</w:t>
      </w:r>
      <w:r w:rsidR="006A0279" w:rsidRPr="008645CC">
        <w:rPr>
          <w:rFonts w:ascii="Times New Roman" w:hAnsi="Times New Roman"/>
          <w:sz w:val="28"/>
          <w:szCs w:val="28"/>
        </w:rPr>
        <w:t>иведени</w:t>
      </w:r>
      <w:r w:rsidR="006A0279">
        <w:rPr>
          <w:rFonts w:ascii="Times New Roman" w:hAnsi="Times New Roman"/>
          <w:sz w:val="28"/>
          <w:szCs w:val="28"/>
        </w:rPr>
        <w:t>я</w:t>
      </w:r>
      <w:r w:rsidR="006A0279" w:rsidRPr="008645CC">
        <w:rPr>
          <w:rFonts w:ascii="Times New Roman" w:hAnsi="Times New Roman"/>
          <w:sz w:val="28"/>
          <w:szCs w:val="28"/>
        </w:rPr>
        <w:t xml:space="preserve"> </w:t>
      </w:r>
      <w:r w:rsidR="00561563">
        <w:rPr>
          <w:rFonts w:ascii="Times New Roman" w:hAnsi="Times New Roman"/>
          <w:sz w:val="28"/>
          <w:szCs w:val="28"/>
        </w:rPr>
        <w:t>образовательных учреждений</w:t>
      </w:r>
      <w:r w:rsidR="006A0279" w:rsidRPr="008645CC">
        <w:rPr>
          <w:rFonts w:ascii="Times New Roman" w:hAnsi="Times New Roman"/>
          <w:sz w:val="28"/>
          <w:szCs w:val="28"/>
        </w:rPr>
        <w:t xml:space="preserve"> в соответствие с современными требованиями</w:t>
      </w:r>
      <w:r w:rsidR="006D420D">
        <w:rPr>
          <w:rFonts w:ascii="Times New Roman" w:hAnsi="Times New Roman"/>
          <w:sz w:val="28"/>
          <w:szCs w:val="28"/>
        </w:rPr>
        <w:t xml:space="preserve"> </w:t>
      </w:r>
      <w:r w:rsidR="006D420D" w:rsidRPr="00EB71D7">
        <w:rPr>
          <w:rFonts w:ascii="Times New Roman" w:hAnsi="Times New Roman"/>
          <w:sz w:val="28"/>
          <w:szCs w:val="28"/>
        </w:rPr>
        <w:t xml:space="preserve">в </w:t>
      </w:r>
      <w:r w:rsidR="00EB71D7">
        <w:rPr>
          <w:rFonts w:ascii="Times New Roman" w:hAnsi="Times New Roman"/>
          <w:sz w:val="28"/>
          <w:szCs w:val="28"/>
        </w:rPr>
        <w:t>2017-2019 годах</w:t>
      </w:r>
      <w:r w:rsidR="006D420D" w:rsidRPr="00EB71D7">
        <w:rPr>
          <w:rFonts w:ascii="Times New Roman" w:hAnsi="Times New Roman"/>
          <w:sz w:val="28"/>
          <w:szCs w:val="28"/>
        </w:rPr>
        <w:t xml:space="preserve"> </w:t>
      </w:r>
      <w:r w:rsidR="006D420D">
        <w:rPr>
          <w:rFonts w:ascii="Times New Roman" w:hAnsi="Times New Roman"/>
          <w:sz w:val="28"/>
          <w:szCs w:val="28"/>
        </w:rPr>
        <w:t xml:space="preserve">планируется </w:t>
      </w:r>
      <w:r w:rsidR="006D420D">
        <w:rPr>
          <w:rFonts w:ascii="Times New Roman" w:hAnsi="Times New Roman"/>
          <w:bCs/>
          <w:sz w:val="28"/>
          <w:szCs w:val="28"/>
        </w:rPr>
        <w:t>п</w:t>
      </w:r>
      <w:r w:rsidR="00954545" w:rsidRPr="000A189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</w:t>
      </w:r>
      <w:r w:rsidR="006D4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едение </w:t>
      </w:r>
      <w:r w:rsidR="0095454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</w:t>
      </w:r>
      <w:r w:rsidR="006D420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54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текущ</w:t>
      </w:r>
      <w:r w:rsidR="006D420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954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4545" w:rsidRPr="000A18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</w:t>
      </w:r>
      <w:r w:rsidR="0095454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D42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54545" w:rsidRPr="000A1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зданий и помещений</w:t>
      </w:r>
      <w:r w:rsidR="006D4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учреждений</w:t>
      </w:r>
      <w:r w:rsidR="00FF01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F012C" w:rsidRPr="00FF012C">
        <w:rPr>
          <w:rFonts w:ascii="Times New Roman" w:hAnsi="Times New Roman" w:cs="Times New Roman"/>
          <w:sz w:val="28"/>
          <w:szCs w:val="28"/>
        </w:rPr>
        <w:t xml:space="preserve"> </w:t>
      </w:r>
      <w:r w:rsidR="00FF012C">
        <w:rPr>
          <w:rFonts w:ascii="Times New Roman" w:hAnsi="Times New Roman" w:cs="Times New Roman"/>
          <w:sz w:val="28"/>
          <w:szCs w:val="28"/>
        </w:rPr>
        <w:t>обновл</w:t>
      </w:r>
      <w:r w:rsidR="006D420D">
        <w:rPr>
          <w:rFonts w:ascii="Times New Roman" w:hAnsi="Times New Roman" w:cs="Times New Roman"/>
          <w:sz w:val="28"/>
          <w:szCs w:val="28"/>
        </w:rPr>
        <w:t>ение</w:t>
      </w:r>
      <w:r w:rsidR="00FF012C">
        <w:rPr>
          <w:rFonts w:ascii="Times New Roman" w:hAnsi="Times New Roman" w:cs="Times New Roman"/>
          <w:sz w:val="28"/>
          <w:szCs w:val="28"/>
        </w:rPr>
        <w:t xml:space="preserve"> материально-техническ</w:t>
      </w:r>
      <w:r w:rsidR="006D420D">
        <w:rPr>
          <w:rFonts w:ascii="Times New Roman" w:hAnsi="Times New Roman" w:cs="Times New Roman"/>
          <w:sz w:val="28"/>
          <w:szCs w:val="28"/>
        </w:rPr>
        <w:t>ой</w:t>
      </w:r>
      <w:r w:rsidR="00FF012C">
        <w:rPr>
          <w:rFonts w:ascii="Times New Roman" w:hAnsi="Times New Roman" w:cs="Times New Roman"/>
          <w:sz w:val="28"/>
          <w:szCs w:val="28"/>
        </w:rPr>
        <w:t xml:space="preserve"> база</w:t>
      </w:r>
      <w:r w:rsidR="00FF012C" w:rsidRPr="007C3207">
        <w:rPr>
          <w:rFonts w:ascii="Times New Roman" w:hAnsi="Times New Roman" w:cs="Times New Roman"/>
          <w:sz w:val="28"/>
          <w:szCs w:val="28"/>
        </w:rPr>
        <w:t xml:space="preserve"> </w:t>
      </w:r>
      <w:r w:rsidR="00802977">
        <w:rPr>
          <w:rFonts w:ascii="Times New Roman" w:hAnsi="Times New Roman"/>
          <w:sz w:val="28"/>
          <w:szCs w:val="28"/>
        </w:rPr>
        <w:t>в</w:t>
      </w:r>
      <w:r w:rsidR="00FF012C">
        <w:rPr>
          <w:rFonts w:ascii="Times New Roman" w:hAnsi="Times New Roman"/>
          <w:sz w:val="28"/>
          <w:szCs w:val="28"/>
        </w:rPr>
        <w:t xml:space="preserve"> соответствии с </w:t>
      </w:r>
      <w:r w:rsidR="00802977">
        <w:rPr>
          <w:rFonts w:ascii="Times New Roman" w:hAnsi="Times New Roman"/>
          <w:sz w:val="28"/>
          <w:szCs w:val="28"/>
        </w:rPr>
        <w:t xml:space="preserve">требованиями </w:t>
      </w:r>
      <w:r w:rsidR="00FF012C">
        <w:rPr>
          <w:rFonts w:ascii="Times New Roman" w:hAnsi="Times New Roman"/>
          <w:sz w:val="28"/>
          <w:szCs w:val="28"/>
        </w:rPr>
        <w:t>ФГОС</w:t>
      </w:r>
      <w:r w:rsidR="00802977">
        <w:rPr>
          <w:rFonts w:ascii="Times New Roman" w:hAnsi="Times New Roman"/>
          <w:sz w:val="28"/>
          <w:szCs w:val="28"/>
        </w:rPr>
        <w:t>,</w:t>
      </w:r>
      <w:r w:rsidR="00FF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</w:t>
      </w:r>
      <w:r w:rsidR="006D420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едение</w:t>
      </w:r>
      <w:r w:rsidR="00FF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6D420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F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FF012C" w:rsidRPr="00323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обеспечению безопасной и доступной </w:t>
      </w:r>
      <w:r w:rsidR="00FF012C" w:rsidRPr="008D3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среды в </w:t>
      </w:r>
      <w:r w:rsidR="006D420D" w:rsidRPr="008D31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учреждениях</w:t>
      </w:r>
      <w:r w:rsidR="008D3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мероприятий </w:t>
      </w:r>
      <w:r w:rsidR="008D314B" w:rsidRPr="008D314B">
        <w:rPr>
          <w:rFonts w:ascii="Times New Roman" w:hAnsi="Times New Roman" w:cs="Times New Roman"/>
          <w:sz w:val="28"/>
          <w:szCs w:val="28"/>
        </w:rPr>
        <w:t>по развитию инклюзивного образования для детей</w:t>
      </w:r>
      <w:proofErr w:type="gramEnd"/>
      <w:r w:rsidR="008D314B" w:rsidRPr="008D314B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</w:t>
      </w:r>
      <w:r w:rsidR="008D314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C7D2B" w:rsidRPr="008D314B">
        <w:rPr>
          <w:rFonts w:ascii="Times New Roman" w:hAnsi="Times New Roman" w:cs="Times New Roman"/>
          <w:sz w:val="28"/>
          <w:szCs w:val="28"/>
        </w:rPr>
        <w:t xml:space="preserve">Продолжится внедрение современных форм организации питания и модернизация пищеблоков в образовательных учреждениях, внедрение </w:t>
      </w:r>
      <w:r w:rsidR="009C7D2B" w:rsidRPr="008D314B">
        <w:rPr>
          <w:rFonts w:ascii="Times New Roman" w:hAnsi="Times New Roman" w:cs="Times New Roman"/>
          <w:color w:val="000000"/>
          <w:sz w:val="28"/>
          <w:szCs w:val="28"/>
        </w:rPr>
        <w:t>систем</w:t>
      </w:r>
      <w:r w:rsidR="008D314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8D314B" w:rsidRPr="008D314B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электронных расчётов </w:t>
      </w:r>
      <w:r w:rsidR="00EB71D7">
        <w:rPr>
          <w:rFonts w:ascii="Times New Roman" w:hAnsi="Times New Roman" w:cs="Times New Roman"/>
          <w:color w:val="000000"/>
          <w:sz w:val="28"/>
          <w:szCs w:val="28"/>
        </w:rPr>
        <w:t>за питание – ч</w:t>
      </w:r>
      <w:r w:rsidR="006D420D" w:rsidRPr="00323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будет </w:t>
      </w:r>
      <w:r w:rsidR="00802977" w:rsidRPr="003232EE">
        <w:rPr>
          <w:rFonts w:ascii="Times New Roman" w:hAnsi="Times New Roman" w:cs="Times New Roman"/>
          <w:sz w:val="28"/>
          <w:szCs w:val="28"/>
        </w:rPr>
        <w:t>способствова</w:t>
      </w:r>
      <w:r w:rsidR="006D420D" w:rsidRPr="003232EE">
        <w:rPr>
          <w:rFonts w:ascii="Times New Roman" w:hAnsi="Times New Roman" w:cs="Times New Roman"/>
          <w:sz w:val="28"/>
          <w:szCs w:val="28"/>
        </w:rPr>
        <w:t>ть</w:t>
      </w:r>
      <w:r w:rsidR="00802977" w:rsidRPr="003232EE">
        <w:rPr>
          <w:rFonts w:ascii="Times New Roman" w:hAnsi="Times New Roman" w:cs="Times New Roman"/>
          <w:sz w:val="28"/>
          <w:szCs w:val="28"/>
        </w:rPr>
        <w:t xml:space="preserve"> созданию в образовательных учреждениях современных условий обучения и </w:t>
      </w:r>
      <w:r w:rsidR="00802977" w:rsidRPr="003232EE">
        <w:rPr>
          <w:rFonts w:ascii="Times New Roman" w:hAnsi="Times New Roman" w:cs="Times New Roman"/>
          <w:i/>
          <w:sz w:val="28"/>
          <w:szCs w:val="28"/>
        </w:rPr>
        <w:t xml:space="preserve">приближению </w:t>
      </w:r>
      <w:r w:rsidR="00802977" w:rsidRPr="003232EE">
        <w:rPr>
          <w:rFonts w:ascii="Times New Roman" w:hAnsi="Times New Roman" w:cs="Times New Roman"/>
          <w:sz w:val="28"/>
          <w:szCs w:val="28"/>
        </w:rPr>
        <w:t>к требованиям, предъявляемым</w:t>
      </w:r>
      <w:r w:rsidR="00802977" w:rsidRPr="003232EE">
        <w:rPr>
          <w:rFonts w:ascii="Times New Roman" w:hAnsi="Times New Roman" w:cs="Times New Roman"/>
          <w:bCs/>
          <w:sz w:val="28"/>
          <w:szCs w:val="28"/>
        </w:rPr>
        <w:t xml:space="preserve"> СанПиН к организации процесса обучения.</w:t>
      </w:r>
      <w:proofErr w:type="gramEnd"/>
    </w:p>
    <w:p w:rsidR="006A0279" w:rsidRPr="003232EE" w:rsidRDefault="00EB71D7" w:rsidP="00802977">
      <w:pPr>
        <w:widowControl w:val="0"/>
        <w:autoSpaceDE w:val="0"/>
        <w:autoSpaceDN w:val="0"/>
        <w:spacing w:after="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предпринимаемые меры, с </w:t>
      </w:r>
      <w:r w:rsidRPr="00EB71D7">
        <w:rPr>
          <w:rFonts w:ascii="Times New Roman" w:hAnsi="Times New Roman" w:cs="Times New Roman"/>
          <w:sz w:val="28"/>
          <w:szCs w:val="28"/>
        </w:rPr>
        <w:t>2013 года д</w:t>
      </w:r>
      <w:r w:rsidR="00802977" w:rsidRPr="00EB71D7">
        <w:rPr>
          <w:rFonts w:ascii="Times New Roman" w:hAnsi="Times New Roman" w:cs="Times New Roman"/>
          <w:sz w:val="28"/>
          <w:szCs w:val="28"/>
        </w:rPr>
        <w:t xml:space="preserve">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  <w:t>городского округа остается на уровне</w:t>
      </w:r>
      <w:r w:rsidR="00532AB2">
        <w:rPr>
          <w:rFonts w:ascii="Times New Roman" w:hAnsi="Times New Roman" w:cs="Times New Roman"/>
          <w:sz w:val="28"/>
          <w:szCs w:val="28"/>
        </w:rPr>
        <w:t xml:space="preserve"> 8</w:t>
      </w:r>
      <w:r w:rsidR="00802977" w:rsidRPr="00EB71D7">
        <w:rPr>
          <w:rFonts w:ascii="Times New Roman" w:hAnsi="Times New Roman" w:cs="Times New Roman"/>
          <w:sz w:val="28"/>
          <w:szCs w:val="28"/>
        </w:rPr>
        <w:t xml:space="preserve">5 %. </w:t>
      </w:r>
    </w:p>
    <w:p w:rsidR="006747D0" w:rsidRPr="003232EE" w:rsidRDefault="006747D0" w:rsidP="008E1E7B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532AB2">
        <w:rPr>
          <w:rFonts w:ascii="Times New Roman" w:hAnsi="Times New Roman" w:cs="Times New Roman"/>
          <w:sz w:val="28"/>
          <w:szCs w:val="28"/>
        </w:rPr>
        <w:t>Рост показателя возможен при осуществлении мероприятий, нацеленных на оптимизацию сети муниципальных общеобразовательных учреждений городского округа, в том числе посредством строительства новых зданий общеобразовательных учреждений</w:t>
      </w:r>
      <w:r w:rsidRPr="00532AB2">
        <w:rPr>
          <w:rFonts w:ascii="Times New Roman" w:hAnsi="Times New Roman" w:cs="Times New Roman"/>
          <w:sz w:val="28"/>
          <w:szCs w:val="27"/>
        </w:rPr>
        <w:t xml:space="preserve"> либо пристроек к функционирующим на сегодняшний день</w:t>
      </w:r>
      <w:r w:rsidRPr="00532AB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1746" w:rsidRPr="003F1746" w:rsidRDefault="00720A2F" w:rsidP="003F174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В</w:t>
      </w:r>
      <w:r w:rsidR="006C02D6" w:rsidRPr="000B2F6B">
        <w:rPr>
          <w:rFonts w:ascii="Times New Roman" w:hAnsi="Times New Roman"/>
          <w:sz w:val="28"/>
          <w:szCs w:val="28"/>
        </w:rPr>
        <w:t xml:space="preserve"> </w:t>
      </w:r>
      <w:r w:rsidR="006C02D6" w:rsidRPr="003F1746">
        <w:rPr>
          <w:rFonts w:ascii="Times New Roman" w:hAnsi="Times New Roman" w:cs="Times New Roman"/>
          <w:sz w:val="28"/>
          <w:szCs w:val="28"/>
        </w:rPr>
        <w:t xml:space="preserve">городском округе </w:t>
      </w:r>
      <w:r w:rsidR="00E94F56" w:rsidRPr="003F1746">
        <w:rPr>
          <w:rFonts w:ascii="Times New Roman" w:hAnsi="Times New Roman" w:cs="Times New Roman"/>
          <w:sz w:val="28"/>
          <w:szCs w:val="28"/>
        </w:rPr>
        <w:t xml:space="preserve">функционирует </w:t>
      </w:r>
      <w:r w:rsidRPr="003F1746">
        <w:rPr>
          <w:rFonts w:ascii="Times New Roman" w:hAnsi="Times New Roman" w:cs="Times New Roman"/>
          <w:i/>
          <w:sz w:val="28"/>
          <w:szCs w:val="28"/>
        </w:rPr>
        <w:t>9 муниципальных образовательных учреждений дополнительного образования</w:t>
      </w:r>
      <w:r w:rsidRPr="003F1746">
        <w:rPr>
          <w:rFonts w:ascii="Times New Roman" w:hAnsi="Times New Roman" w:cs="Times New Roman"/>
          <w:sz w:val="28"/>
          <w:szCs w:val="28"/>
        </w:rPr>
        <w:t xml:space="preserve"> детей, из них четыре реализуют многопрофильные дополнительные образовательные программы, и пять учрежде</w:t>
      </w:r>
      <w:r w:rsidR="00E94F56" w:rsidRPr="003F1746">
        <w:rPr>
          <w:rFonts w:ascii="Times New Roman" w:hAnsi="Times New Roman" w:cs="Times New Roman"/>
          <w:sz w:val="28"/>
          <w:szCs w:val="28"/>
        </w:rPr>
        <w:t>ний - спортивной направленности, деятельность в которых ведется по 22 направлениям.</w:t>
      </w:r>
    </w:p>
    <w:p w:rsidR="003F1746" w:rsidRPr="003F1746" w:rsidRDefault="00E94F56" w:rsidP="003F174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3F1746">
        <w:rPr>
          <w:rFonts w:ascii="Times New Roman" w:hAnsi="Times New Roman" w:cs="Times New Roman"/>
          <w:sz w:val="28"/>
          <w:szCs w:val="28"/>
        </w:rPr>
        <w:t>Кроме того, функционирует и развивается система дополнительного образования детей на базе общеобразовательных учреждений:</w:t>
      </w:r>
      <w:r w:rsidR="003F1746" w:rsidRPr="003F1746">
        <w:rPr>
          <w:rFonts w:ascii="Times New Roman" w:hAnsi="Times New Roman" w:cs="Times New Roman"/>
          <w:sz w:val="28"/>
          <w:szCs w:val="28"/>
        </w:rPr>
        <w:t xml:space="preserve"> создано 1068 объединений, в них занимается 9560 учащихся. </w:t>
      </w:r>
    </w:p>
    <w:p w:rsidR="00E94F56" w:rsidRPr="003F1746" w:rsidRDefault="00E94F56" w:rsidP="003F1746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A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Охват обучающихся программами дополнительного образования в системе МОУ</w:t>
      </w:r>
      <w:r w:rsidRPr="003F1746">
        <w:rPr>
          <w:rFonts w:ascii="Times New Roman" w:hAnsi="Times New Roman" w:cs="Times New Roman"/>
          <w:sz w:val="28"/>
          <w:szCs w:val="28"/>
        </w:rPr>
        <w:t>,</w:t>
      </w:r>
      <w:r w:rsidRPr="00E4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1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</w:t>
      </w:r>
      <w:r w:rsidRPr="003F1746">
        <w:rPr>
          <w:rFonts w:ascii="Times New Roman" w:hAnsi="Times New Roman" w:cs="Times New Roman"/>
          <w:sz w:val="28"/>
          <w:szCs w:val="28"/>
        </w:rPr>
        <w:t>составит, по оценке, 45,3%, В прогнозном периоде планируется сохранение сети учреждений и количества обучающихся.</w:t>
      </w:r>
    </w:p>
    <w:p w:rsidR="006C02D6" w:rsidRDefault="003F1746" w:rsidP="00465C7F">
      <w:pPr>
        <w:ind w:firstLine="708"/>
        <w:contextualSpacing/>
        <w:rPr>
          <w:rFonts w:ascii="Times New Roman" w:hAnsi="Times New Roman"/>
          <w:sz w:val="28"/>
          <w:szCs w:val="28"/>
        </w:rPr>
      </w:pPr>
      <w:r w:rsidRPr="00465C7F">
        <w:rPr>
          <w:rFonts w:ascii="Times New Roman" w:hAnsi="Times New Roman" w:cs="Times New Roman"/>
          <w:bCs/>
          <w:sz w:val="28"/>
          <w:szCs w:val="28"/>
        </w:rPr>
        <w:t xml:space="preserve">В 2015 году </w:t>
      </w:r>
      <w:r w:rsidR="00465C7F" w:rsidRPr="00465C7F">
        <w:rPr>
          <w:rFonts w:ascii="Times New Roman" w:hAnsi="Times New Roman" w:cs="Times New Roman"/>
          <w:bCs/>
          <w:sz w:val="28"/>
          <w:szCs w:val="28"/>
        </w:rPr>
        <w:t xml:space="preserve">и в первом полугодии 2016 года совершенствовалась </w:t>
      </w:r>
      <w:r w:rsidRPr="00465C7F">
        <w:rPr>
          <w:rFonts w:ascii="Times New Roman" w:hAnsi="Times New Roman" w:cs="Times New Roman"/>
          <w:bCs/>
          <w:sz w:val="28"/>
          <w:szCs w:val="28"/>
        </w:rPr>
        <w:t>материально-техническ</w:t>
      </w:r>
      <w:r w:rsidR="00465C7F" w:rsidRPr="00465C7F">
        <w:rPr>
          <w:rFonts w:ascii="Times New Roman" w:hAnsi="Times New Roman" w:cs="Times New Roman"/>
          <w:bCs/>
          <w:sz w:val="28"/>
          <w:szCs w:val="28"/>
        </w:rPr>
        <w:t>ая</w:t>
      </w:r>
      <w:r w:rsidRPr="00465C7F">
        <w:rPr>
          <w:rFonts w:ascii="Times New Roman" w:hAnsi="Times New Roman" w:cs="Times New Roman"/>
          <w:bCs/>
          <w:sz w:val="28"/>
          <w:szCs w:val="28"/>
        </w:rPr>
        <w:t xml:space="preserve"> баз</w:t>
      </w:r>
      <w:r w:rsidR="00F25ADC">
        <w:rPr>
          <w:rFonts w:ascii="Times New Roman" w:hAnsi="Times New Roman" w:cs="Times New Roman"/>
          <w:bCs/>
          <w:sz w:val="28"/>
          <w:szCs w:val="28"/>
        </w:rPr>
        <w:t>а</w:t>
      </w:r>
      <w:r w:rsidRPr="00465C7F">
        <w:rPr>
          <w:rFonts w:ascii="Times New Roman" w:hAnsi="Times New Roman" w:cs="Times New Roman"/>
          <w:bCs/>
          <w:sz w:val="28"/>
          <w:szCs w:val="28"/>
        </w:rPr>
        <w:t xml:space="preserve"> учреждений дополнительного образования детей, </w:t>
      </w:r>
      <w:r w:rsidR="00465C7F" w:rsidRPr="00465C7F">
        <w:rPr>
          <w:rFonts w:ascii="Times New Roman" w:hAnsi="Times New Roman" w:cs="Times New Roman"/>
          <w:bCs/>
          <w:sz w:val="28"/>
          <w:szCs w:val="28"/>
        </w:rPr>
        <w:t>осуществлено строительство и ремонт</w:t>
      </w:r>
      <w:r w:rsidRPr="00465C7F">
        <w:rPr>
          <w:rFonts w:ascii="Times New Roman" w:hAnsi="Times New Roman" w:cs="Times New Roman"/>
          <w:bCs/>
          <w:sz w:val="28"/>
          <w:szCs w:val="28"/>
        </w:rPr>
        <w:t xml:space="preserve"> спортивных площадок, расположенных на базе образовательных учреждений для проведения </w:t>
      </w:r>
      <w:r w:rsidR="00F25ADC" w:rsidRPr="00465C7F">
        <w:rPr>
          <w:rFonts w:ascii="Times New Roman" w:hAnsi="Times New Roman" w:cs="Times New Roman"/>
          <w:bCs/>
          <w:sz w:val="28"/>
          <w:szCs w:val="28"/>
        </w:rPr>
        <w:t xml:space="preserve">спортивных </w:t>
      </w:r>
      <w:r w:rsidRPr="00465C7F">
        <w:rPr>
          <w:rFonts w:ascii="Times New Roman" w:hAnsi="Times New Roman" w:cs="Times New Roman"/>
          <w:bCs/>
          <w:sz w:val="28"/>
          <w:szCs w:val="28"/>
        </w:rPr>
        <w:t>городских соревнований, развития мини-футбола</w:t>
      </w:r>
      <w:r w:rsidR="00465C7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C02D6" w:rsidRPr="00BD6E3C">
        <w:rPr>
          <w:rFonts w:ascii="Times New Roman" w:hAnsi="Times New Roman"/>
          <w:sz w:val="28"/>
          <w:szCs w:val="28"/>
        </w:rPr>
        <w:t xml:space="preserve">Обеспечено участие в творческих конкурсах и спортивных соревнованиях регионального, всероссийского и международного уровней. Учащиеся муниципальных бюджетных учреждений дополнительного образования «Детско-юношеская спортивная школа № 3» и «Детско-юношеская спортивная школа № 5» стали победителями и призерами Кубков мира и России по различным видам единоборств. Детские творческие коллективы </w:t>
      </w:r>
      <w:r w:rsidR="006C02D6">
        <w:rPr>
          <w:rFonts w:ascii="Times New Roman" w:hAnsi="Times New Roman"/>
          <w:sz w:val="28"/>
          <w:szCs w:val="28"/>
        </w:rPr>
        <w:t>МБУДО</w:t>
      </w:r>
      <w:r w:rsidR="006C02D6" w:rsidRPr="00BD6E3C">
        <w:rPr>
          <w:rFonts w:ascii="Times New Roman" w:hAnsi="Times New Roman"/>
          <w:sz w:val="28"/>
          <w:szCs w:val="28"/>
        </w:rPr>
        <w:t xml:space="preserve"> «Дом детского творчества «Юность» и </w:t>
      </w:r>
      <w:r w:rsidR="006C02D6">
        <w:rPr>
          <w:rFonts w:ascii="Times New Roman" w:hAnsi="Times New Roman"/>
          <w:sz w:val="28"/>
          <w:szCs w:val="28"/>
        </w:rPr>
        <w:t xml:space="preserve">МБУДО </w:t>
      </w:r>
      <w:r w:rsidR="006C02D6" w:rsidRPr="00BD6E3C">
        <w:rPr>
          <w:rFonts w:ascii="Times New Roman" w:hAnsi="Times New Roman"/>
          <w:sz w:val="28"/>
          <w:szCs w:val="28"/>
        </w:rPr>
        <w:t xml:space="preserve">«Центр внешкольной работы» в 2015 году стали обладателями гран-при и дипломов </w:t>
      </w:r>
      <w:r w:rsidR="006C02D6" w:rsidRPr="00BD6E3C">
        <w:rPr>
          <w:rFonts w:ascii="Times New Roman" w:hAnsi="Times New Roman"/>
          <w:sz w:val="28"/>
          <w:szCs w:val="28"/>
          <w:lang w:val="en-US"/>
        </w:rPr>
        <w:t>I</w:t>
      </w:r>
      <w:r w:rsidR="006C02D6" w:rsidRPr="00BD6E3C">
        <w:rPr>
          <w:rFonts w:ascii="Times New Roman" w:hAnsi="Times New Roman"/>
          <w:sz w:val="28"/>
          <w:szCs w:val="28"/>
        </w:rPr>
        <w:t xml:space="preserve"> степени на международных фестивалях-конкурсах в Испании, г. Геленджике. Больших успехов достигли учащиеся учреждений дополнительного образования и в различных </w:t>
      </w:r>
      <w:proofErr w:type="gramStart"/>
      <w:r w:rsidR="006C02D6" w:rsidRPr="00BD6E3C">
        <w:rPr>
          <w:rFonts w:ascii="Times New Roman" w:hAnsi="Times New Roman"/>
          <w:sz w:val="28"/>
          <w:szCs w:val="28"/>
        </w:rPr>
        <w:t>всероссийских спортивных</w:t>
      </w:r>
      <w:proofErr w:type="gramEnd"/>
      <w:r w:rsidR="006C02D6" w:rsidRPr="00BD6E3C">
        <w:rPr>
          <w:rFonts w:ascii="Times New Roman" w:hAnsi="Times New Roman"/>
          <w:sz w:val="28"/>
          <w:szCs w:val="28"/>
        </w:rPr>
        <w:t xml:space="preserve"> соревнованиях, фестивалях и конкурсах.</w:t>
      </w:r>
    </w:p>
    <w:p w:rsidR="00F25ADC" w:rsidRDefault="00F25ADC" w:rsidP="009C575A">
      <w:pPr>
        <w:tabs>
          <w:tab w:val="left" w:pos="6237"/>
        </w:tabs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3AD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эффективности и качества услуг в сфере дополнительного образования в среднесрочном периоде будут продолжены: расширение потенциала системы дополнительного образования; разработка и реализация новых программ дополнительного образования; информирование потребителей услуг о реализации мероприятий в системе дополнительного образования детей.</w:t>
      </w:r>
      <w:proofErr w:type="gramEnd"/>
    </w:p>
    <w:p w:rsidR="00532AB2" w:rsidRPr="00D20D75" w:rsidRDefault="00532AB2" w:rsidP="00532AB2">
      <w:pPr>
        <w:rPr>
          <w:rFonts w:ascii="Times New Roman" w:eastAsia="Times New Roman" w:hAnsi="Times New Roman" w:cs="Times New Roman"/>
          <w:lang w:eastAsia="ru-RU"/>
        </w:rPr>
      </w:pPr>
      <w:r w:rsidRPr="00532AB2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В прогнозируемом периоде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сфере образования будут действовать </w:t>
      </w:r>
      <w:r w:rsidRPr="00532AB2"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</w:rPr>
        <w:t>ая</w:t>
      </w:r>
      <w:r w:rsidRPr="00532AB2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532A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2AB2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«Развитие образования и социальная поддержка граждан в </w:t>
      </w:r>
      <w:proofErr w:type="gramStart"/>
      <w:r w:rsidRPr="00532AB2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Петропавловск-Камчатском</w:t>
      </w:r>
      <w:proofErr w:type="gramEnd"/>
      <w:r w:rsidRPr="00532AB2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городском округе» и муниципальн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ая</w:t>
      </w:r>
      <w:r w:rsidRPr="00532AB2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</w:t>
      </w:r>
      <w:r w:rsidRPr="00532AB2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532AB2">
        <w:rPr>
          <w:rFonts w:ascii="Times New Roman" w:eastAsia="Calibri" w:hAnsi="Times New Roman" w:cs="Times New Roman"/>
          <w:sz w:val="28"/>
          <w:szCs w:val="28"/>
        </w:rPr>
        <w:t>«Энергоэффективность, развитие энергетики и коммунального хозяйства, обеспечение жителей Петропавловск-Камчатского городского округа коммунальными услугами, услугами по благоустройству территории и охрана окружающей среды»</w:t>
      </w:r>
      <w:r w:rsidRPr="00D20D75">
        <w:t xml:space="preserve"> </w:t>
      </w:r>
    </w:p>
    <w:p w:rsidR="00F25ADC" w:rsidRDefault="00F25ADC" w:rsidP="009C575A">
      <w:pPr>
        <w:tabs>
          <w:tab w:val="left" w:pos="6237"/>
        </w:tabs>
        <w:spacing w:before="12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C02D6" w:rsidRPr="00BD6E3C">
        <w:rPr>
          <w:rFonts w:ascii="Times New Roman" w:hAnsi="Times New Roman"/>
          <w:sz w:val="28"/>
          <w:szCs w:val="28"/>
        </w:rPr>
        <w:t>роблем</w:t>
      </w:r>
      <w:r>
        <w:rPr>
          <w:rFonts w:ascii="Times New Roman" w:hAnsi="Times New Roman"/>
          <w:sz w:val="28"/>
          <w:szCs w:val="28"/>
        </w:rPr>
        <w:t>ы</w:t>
      </w:r>
      <w:r w:rsidR="006C02D6" w:rsidRPr="00BD6E3C">
        <w:rPr>
          <w:rFonts w:ascii="Times New Roman" w:hAnsi="Times New Roman"/>
          <w:sz w:val="28"/>
          <w:szCs w:val="28"/>
        </w:rPr>
        <w:t xml:space="preserve"> сферы образования городского округа:</w:t>
      </w:r>
    </w:p>
    <w:p w:rsidR="009C575A" w:rsidRDefault="009C575A" w:rsidP="009C575A">
      <w:pPr>
        <w:tabs>
          <w:tab w:val="left" w:pos="6237"/>
        </w:tabs>
        <w:spacing w:after="60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C02D6" w:rsidRPr="00BD6E3C">
        <w:rPr>
          <w:rFonts w:ascii="Times New Roman" w:hAnsi="Times New Roman"/>
          <w:bCs/>
          <w:sz w:val="28"/>
          <w:szCs w:val="28"/>
        </w:rPr>
        <w:t>не полное соответствие существующих условий обучения в общеобразовательных учреждениях требованиям СанПиН,</w:t>
      </w:r>
    </w:p>
    <w:p w:rsidR="009C575A" w:rsidRDefault="009C7D2B" w:rsidP="006739BC">
      <w:pPr>
        <w:tabs>
          <w:tab w:val="left" w:pos="6237"/>
        </w:tabs>
        <w:spacing w:after="60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- </w:t>
      </w:r>
      <w:r w:rsidR="006C02D6" w:rsidRPr="00BD6E3C">
        <w:rPr>
          <w:rFonts w:ascii="Times New Roman" w:hAnsi="Times New Roman"/>
          <w:bCs/>
          <w:sz w:val="28"/>
          <w:szCs w:val="28"/>
        </w:rPr>
        <w:t>значительная степень изношенности зданий, технологического и учебного оборудования,</w:t>
      </w:r>
      <w:r w:rsidR="009C575A">
        <w:rPr>
          <w:rFonts w:ascii="Times New Roman" w:hAnsi="Times New Roman"/>
          <w:bCs/>
          <w:sz w:val="28"/>
          <w:szCs w:val="28"/>
        </w:rPr>
        <w:t xml:space="preserve"> </w:t>
      </w:r>
      <w:r w:rsidR="006C02D6" w:rsidRPr="00BD6E3C">
        <w:rPr>
          <w:rFonts w:ascii="Times New Roman" w:hAnsi="Times New Roman"/>
          <w:sz w:val="28"/>
          <w:szCs w:val="28"/>
        </w:rPr>
        <w:t>устаревшая материальная база учреждений дополнительного образования детей спортивной направленности,</w:t>
      </w:r>
      <w:r w:rsidR="003B1CF4" w:rsidRPr="003B1CF4">
        <w:rPr>
          <w:rFonts w:ascii="Times New Roman" w:hAnsi="Times New Roman"/>
          <w:sz w:val="28"/>
          <w:szCs w:val="28"/>
        </w:rPr>
        <w:t xml:space="preserve"> </w:t>
      </w:r>
      <w:r w:rsidR="003B1CF4" w:rsidRPr="00BD6E3C">
        <w:rPr>
          <w:rFonts w:ascii="Times New Roman" w:hAnsi="Times New Roman"/>
          <w:sz w:val="28"/>
          <w:szCs w:val="28"/>
        </w:rPr>
        <w:t>отсутствие условий для проведения соревнований (стадион);</w:t>
      </w:r>
      <w:proofErr w:type="gramEnd"/>
    </w:p>
    <w:p w:rsidR="009C575A" w:rsidRDefault="009C7D2B" w:rsidP="006739BC">
      <w:pPr>
        <w:tabs>
          <w:tab w:val="left" w:pos="6237"/>
        </w:tabs>
        <w:spacing w:after="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C02D6" w:rsidRPr="00BD6E3C">
        <w:rPr>
          <w:rFonts w:ascii="Times New Roman" w:hAnsi="Times New Roman"/>
          <w:sz w:val="28"/>
          <w:szCs w:val="28"/>
        </w:rPr>
        <w:t xml:space="preserve">отсутствие типового </w:t>
      </w:r>
      <w:proofErr w:type="gramStart"/>
      <w:r w:rsidR="006C02D6" w:rsidRPr="00BD6E3C">
        <w:rPr>
          <w:rFonts w:ascii="Times New Roman" w:hAnsi="Times New Roman"/>
          <w:sz w:val="28"/>
          <w:szCs w:val="28"/>
        </w:rPr>
        <w:t>здания учреждения до</w:t>
      </w:r>
      <w:r>
        <w:rPr>
          <w:rFonts w:ascii="Times New Roman" w:hAnsi="Times New Roman"/>
          <w:sz w:val="28"/>
          <w:szCs w:val="28"/>
        </w:rPr>
        <w:t>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;</w:t>
      </w:r>
      <w:r w:rsidR="006C02D6" w:rsidRPr="00BD6E3C">
        <w:rPr>
          <w:rFonts w:ascii="Times New Roman" w:hAnsi="Times New Roman"/>
          <w:sz w:val="28"/>
          <w:szCs w:val="28"/>
        </w:rPr>
        <w:t xml:space="preserve"> </w:t>
      </w:r>
    </w:p>
    <w:p w:rsidR="006C02D6" w:rsidRDefault="009C7D2B" w:rsidP="006739BC">
      <w:pPr>
        <w:tabs>
          <w:tab w:val="left" w:pos="6237"/>
        </w:tabs>
        <w:spacing w:after="60"/>
        <w:contextualSpacing/>
        <w:rPr>
          <w:rFonts w:ascii="Times New Roman" w:hAnsi="Times New Roman"/>
          <w:sz w:val="28"/>
          <w:szCs w:val="28"/>
        </w:rPr>
      </w:pPr>
      <w:r w:rsidRPr="009C7D2B">
        <w:rPr>
          <w:rFonts w:ascii="Times New Roman" w:hAnsi="Times New Roman"/>
          <w:sz w:val="28"/>
          <w:szCs w:val="28"/>
        </w:rPr>
        <w:t xml:space="preserve">- </w:t>
      </w:r>
      <w:r w:rsidR="006C02D6" w:rsidRPr="009C7D2B">
        <w:rPr>
          <w:rFonts w:ascii="Times New Roman" w:hAnsi="Times New Roman"/>
          <w:sz w:val="28"/>
          <w:szCs w:val="28"/>
        </w:rPr>
        <w:t>о</w:t>
      </w:r>
      <w:r w:rsidR="006C02D6" w:rsidRPr="009C7D2B">
        <w:rPr>
          <w:rStyle w:val="FontStyle28"/>
          <w:rFonts w:ascii="Times New Roman" w:hAnsi="Times New Roman" w:cs="Times New Roman"/>
          <w:sz w:val="28"/>
          <w:szCs w:val="28"/>
        </w:rPr>
        <w:t xml:space="preserve">тсутствие </w:t>
      </w:r>
      <w:r w:rsidR="006C02D6" w:rsidRPr="009C7D2B">
        <w:rPr>
          <w:rFonts w:ascii="Times New Roman" w:hAnsi="Times New Roman"/>
          <w:sz w:val="28"/>
          <w:szCs w:val="28"/>
        </w:rPr>
        <w:t>организации строительства муниципального жилья (общежития) для молодых специалистов образовательных учреждений.</w:t>
      </w:r>
    </w:p>
    <w:p w:rsidR="00622CB2" w:rsidRDefault="00622CB2" w:rsidP="00622CB2">
      <w:pPr>
        <w:pStyle w:val="1"/>
        <w:spacing w:before="240" w:after="240"/>
      </w:pPr>
      <w:bookmarkStart w:id="62" w:name="_Toc368930214"/>
      <w:bookmarkStart w:id="63" w:name="_Toc368930838"/>
      <w:bookmarkStart w:id="64" w:name="_Toc368988897"/>
      <w:bookmarkStart w:id="65" w:name="_Toc400529676"/>
      <w:bookmarkStart w:id="66" w:name="_Toc430947253"/>
      <w:bookmarkStart w:id="67" w:name="_Toc465927698"/>
    </w:p>
    <w:p w:rsidR="00622CB2" w:rsidRDefault="00622CB2" w:rsidP="00622CB2">
      <w:pPr>
        <w:pStyle w:val="1"/>
        <w:spacing w:before="240" w:after="240"/>
      </w:pPr>
    </w:p>
    <w:p w:rsidR="00622CB2" w:rsidRDefault="00622CB2" w:rsidP="00622CB2">
      <w:pPr>
        <w:pStyle w:val="1"/>
        <w:spacing w:before="240" w:after="240"/>
      </w:pPr>
    </w:p>
    <w:p w:rsidR="006C02D6" w:rsidRDefault="000225D4" w:rsidP="00622CB2">
      <w:pPr>
        <w:pStyle w:val="1"/>
        <w:spacing w:before="240" w:after="240"/>
      </w:pPr>
      <w:r w:rsidRPr="00A63AFB">
        <w:lastRenderedPageBreak/>
        <w:t>14</w:t>
      </w:r>
      <w:r w:rsidR="006C02D6" w:rsidRPr="00A63AFB">
        <w:t>. Обеспечение населения услугами культуры</w:t>
      </w:r>
      <w:bookmarkEnd w:id="62"/>
      <w:bookmarkEnd w:id="63"/>
      <w:bookmarkEnd w:id="64"/>
      <w:bookmarkEnd w:id="65"/>
      <w:bookmarkEnd w:id="66"/>
      <w:bookmarkEnd w:id="67"/>
    </w:p>
    <w:p w:rsidR="006C02D6" w:rsidRPr="00AD6774" w:rsidRDefault="006C02D6" w:rsidP="006739BC">
      <w:pPr>
        <w:spacing w:after="60"/>
        <w:rPr>
          <w:rFonts w:ascii="Times New Roman" w:hAnsi="Times New Roman"/>
          <w:sz w:val="28"/>
          <w:szCs w:val="28"/>
          <w:lang w:eastAsia="ru-RU"/>
        </w:rPr>
      </w:pPr>
      <w:r w:rsidRPr="00AD6774">
        <w:rPr>
          <w:rFonts w:ascii="Times New Roman" w:hAnsi="Times New Roman"/>
          <w:sz w:val="28"/>
          <w:szCs w:val="28"/>
          <w:lang w:eastAsia="ru-RU"/>
        </w:rPr>
        <w:t xml:space="preserve">Население городского округа обеспечено разноплановыми муниципальными учреждениями культуры и образования в сфере искусства, созданы условия для организации досуга и отдыха. </w:t>
      </w:r>
    </w:p>
    <w:p w:rsidR="006C02D6" w:rsidRPr="00AD6774" w:rsidRDefault="006C02D6" w:rsidP="006739BC">
      <w:pPr>
        <w:autoSpaceDE w:val="0"/>
        <w:autoSpaceDN w:val="0"/>
        <w:adjustRightInd w:val="0"/>
        <w:spacing w:after="60"/>
        <w:rPr>
          <w:rFonts w:ascii="Times New Roman" w:hAnsi="Times New Roman"/>
          <w:sz w:val="28"/>
          <w:szCs w:val="28"/>
        </w:rPr>
      </w:pPr>
      <w:proofErr w:type="gramStart"/>
      <w:r w:rsidRPr="00AD6774">
        <w:rPr>
          <w:rFonts w:ascii="Times New Roman" w:hAnsi="Times New Roman"/>
          <w:sz w:val="28"/>
          <w:szCs w:val="28"/>
        </w:rPr>
        <w:t xml:space="preserve">Основными направлениями развития сферы культуры в городском округе являются: обеспечение сохранения объектов историко-культурного наследия; создание условий для развития духовного потенциала и самодеятельного творчества; организация досуга населения, совершенствование работы организаций и учреждений культуры и искусства, обеспечение библиотечного обслуживания, выявление и поддержка юных дарований, развитие любительского творчества всех видов и жанров искусства. </w:t>
      </w:r>
      <w:proofErr w:type="gramEnd"/>
    </w:p>
    <w:p w:rsidR="006C02D6" w:rsidRPr="007F7F8D" w:rsidRDefault="006C02D6" w:rsidP="006739BC">
      <w:pPr>
        <w:autoSpaceDE w:val="0"/>
        <w:autoSpaceDN w:val="0"/>
        <w:adjustRightInd w:val="0"/>
        <w:spacing w:after="60"/>
        <w:rPr>
          <w:rFonts w:ascii="Times New Roman" w:hAnsi="Times New Roman"/>
          <w:sz w:val="28"/>
          <w:szCs w:val="28"/>
        </w:rPr>
      </w:pPr>
      <w:r w:rsidRPr="007F7F8D">
        <w:rPr>
          <w:rFonts w:ascii="Times New Roman" w:hAnsi="Times New Roman"/>
          <w:sz w:val="28"/>
          <w:szCs w:val="28"/>
        </w:rPr>
        <w:t xml:space="preserve">Сеть муниципальных учреждений культуры, подведомственных Управлению культуры, спорта и социального развития администрации </w:t>
      </w:r>
      <w:proofErr w:type="gramStart"/>
      <w:r w:rsidRPr="007F7F8D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7F7F8D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D54CB3" w:rsidRPr="00D54CB3">
        <w:rPr>
          <w:rFonts w:ascii="Times New Roman" w:hAnsi="Times New Roman"/>
          <w:sz w:val="28"/>
          <w:szCs w:val="28"/>
        </w:rPr>
        <w:t xml:space="preserve"> </w:t>
      </w:r>
      <w:r w:rsidR="00D54CB3">
        <w:rPr>
          <w:rFonts w:ascii="Times New Roman" w:hAnsi="Times New Roman"/>
          <w:sz w:val="28"/>
          <w:szCs w:val="28"/>
        </w:rPr>
        <w:t xml:space="preserve">(далее - </w:t>
      </w:r>
      <w:r w:rsidR="00D54CB3" w:rsidRPr="007F7F8D">
        <w:rPr>
          <w:rFonts w:ascii="Times New Roman" w:hAnsi="Times New Roman"/>
          <w:sz w:val="28"/>
          <w:szCs w:val="28"/>
        </w:rPr>
        <w:t>Управлению культуры, спорта и социального развития</w:t>
      </w:r>
      <w:r w:rsidR="00DF2796">
        <w:rPr>
          <w:rFonts w:ascii="Times New Roman" w:hAnsi="Times New Roman"/>
          <w:sz w:val="28"/>
          <w:szCs w:val="28"/>
        </w:rPr>
        <w:t>)</w:t>
      </w:r>
      <w:r w:rsidRPr="007F7F8D">
        <w:rPr>
          <w:rFonts w:ascii="Times New Roman" w:hAnsi="Times New Roman"/>
          <w:sz w:val="28"/>
          <w:szCs w:val="28"/>
        </w:rPr>
        <w:t>, представлена:</w:t>
      </w:r>
    </w:p>
    <w:p w:rsidR="006C02D6" w:rsidRPr="0019348D" w:rsidRDefault="006C02D6" w:rsidP="006739BC">
      <w:pPr>
        <w:pStyle w:val="a9"/>
        <w:tabs>
          <w:tab w:val="left" w:pos="993"/>
          <w:tab w:val="left" w:pos="1134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19348D">
        <w:rPr>
          <w:rFonts w:ascii="Times New Roman" w:hAnsi="Times New Roman"/>
          <w:sz w:val="28"/>
          <w:szCs w:val="28"/>
        </w:rPr>
        <w:t>-</w:t>
      </w:r>
      <w:r w:rsidRPr="0019348D">
        <w:rPr>
          <w:rFonts w:ascii="Times New Roman" w:hAnsi="Times New Roman"/>
          <w:sz w:val="28"/>
          <w:szCs w:val="28"/>
        </w:rPr>
        <w:tab/>
        <w:t>муниципальн</w:t>
      </w:r>
      <w:r w:rsidR="0019348D" w:rsidRPr="0019348D">
        <w:rPr>
          <w:rFonts w:ascii="Times New Roman" w:hAnsi="Times New Roman"/>
          <w:sz w:val="28"/>
          <w:szCs w:val="28"/>
        </w:rPr>
        <w:t>ым</w:t>
      </w:r>
      <w:r w:rsidRPr="0019348D">
        <w:rPr>
          <w:rFonts w:ascii="Times New Roman" w:hAnsi="Times New Roman"/>
          <w:sz w:val="28"/>
          <w:szCs w:val="28"/>
        </w:rPr>
        <w:t xml:space="preserve"> бюджетн</w:t>
      </w:r>
      <w:r w:rsidR="0019348D" w:rsidRPr="0019348D">
        <w:rPr>
          <w:rFonts w:ascii="Times New Roman" w:hAnsi="Times New Roman"/>
          <w:sz w:val="28"/>
          <w:szCs w:val="28"/>
        </w:rPr>
        <w:t>ым</w:t>
      </w:r>
      <w:r w:rsidRPr="0019348D">
        <w:rPr>
          <w:rFonts w:ascii="Times New Roman" w:hAnsi="Times New Roman"/>
          <w:sz w:val="28"/>
          <w:szCs w:val="28"/>
        </w:rPr>
        <w:t xml:space="preserve"> учреждение</w:t>
      </w:r>
      <w:r w:rsidR="0019348D" w:rsidRPr="0019348D">
        <w:rPr>
          <w:rFonts w:ascii="Times New Roman" w:hAnsi="Times New Roman"/>
          <w:sz w:val="28"/>
          <w:szCs w:val="28"/>
        </w:rPr>
        <w:t>м</w:t>
      </w:r>
      <w:r w:rsidRPr="0019348D">
        <w:rPr>
          <w:rFonts w:ascii="Times New Roman" w:hAnsi="Times New Roman"/>
          <w:sz w:val="28"/>
          <w:szCs w:val="28"/>
        </w:rPr>
        <w:t xml:space="preserve"> культуры (далее – МБУК) «Центральная городская библиотека», в состав</w:t>
      </w:r>
      <w:r w:rsidR="0019348D" w:rsidRPr="0019348D">
        <w:rPr>
          <w:rFonts w:ascii="Times New Roman" w:hAnsi="Times New Roman"/>
          <w:sz w:val="28"/>
          <w:szCs w:val="28"/>
        </w:rPr>
        <w:t>е</w:t>
      </w:r>
      <w:r w:rsidRPr="0019348D">
        <w:rPr>
          <w:rFonts w:ascii="Times New Roman" w:hAnsi="Times New Roman"/>
          <w:sz w:val="28"/>
          <w:szCs w:val="28"/>
        </w:rPr>
        <w:t xml:space="preserve"> 13 библиотек-филиалов;</w:t>
      </w:r>
    </w:p>
    <w:p w:rsidR="00D54CB3" w:rsidRPr="0019348D" w:rsidRDefault="006C02D6" w:rsidP="0019348D">
      <w:pPr>
        <w:pStyle w:val="a9"/>
        <w:tabs>
          <w:tab w:val="left" w:pos="993"/>
          <w:tab w:val="left" w:pos="1134"/>
        </w:tabs>
        <w:spacing w:after="60" w:line="240" w:lineRule="auto"/>
        <w:rPr>
          <w:rFonts w:ascii="Times New Roman" w:hAnsi="Times New Roman"/>
          <w:strike/>
          <w:sz w:val="28"/>
          <w:szCs w:val="28"/>
        </w:rPr>
      </w:pPr>
      <w:r w:rsidRPr="0019348D">
        <w:rPr>
          <w:rFonts w:ascii="Times New Roman" w:hAnsi="Times New Roman"/>
          <w:sz w:val="28"/>
          <w:szCs w:val="28"/>
        </w:rPr>
        <w:t>-</w:t>
      </w:r>
      <w:r w:rsidRPr="0019348D">
        <w:rPr>
          <w:rFonts w:ascii="Times New Roman" w:hAnsi="Times New Roman"/>
          <w:sz w:val="28"/>
          <w:szCs w:val="28"/>
        </w:rPr>
        <w:tab/>
        <w:t>учреждения</w:t>
      </w:r>
      <w:r w:rsidR="0019348D" w:rsidRPr="0019348D">
        <w:rPr>
          <w:rFonts w:ascii="Times New Roman" w:hAnsi="Times New Roman"/>
          <w:sz w:val="28"/>
          <w:szCs w:val="28"/>
        </w:rPr>
        <w:t>ми</w:t>
      </w:r>
      <w:r w:rsidRPr="0019348D">
        <w:rPr>
          <w:rFonts w:ascii="Times New Roman" w:hAnsi="Times New Roman"/>
          <w:sz w:val="28"/>
          <w:szCs w:val="28"/>
        </w:rPr>
        <w:t xml:space="preserve"> культурно-досугового типа</w:t>
      </w:r>
      <w:r w:rsidR="00D54CB3" w:rsidRPr="0019348D">
        <w:rPr>
          <w:rFonts w:ascii="Times New Roman" w:hAnsi="Times New Roman"/>
          <w:sz w:val="28"/>
          <w:szCs w:val="28"/>
        </w:rPr>
        <w:t xml:space="preserve"> </w:t>
      </w:r>
      <w:r w:rsidR="0019348D" w:rsidRPr="0019348D">
        <w:rPr>
          <w:rFonts w:ascii="Times New Roman" w:hAnsi="Times New Roman"/>
          <w:sz w:val="28"/>
          <w:szCs w:val="28"/>
        </w:rPr>
        <w:t>(</w:t>
      </w:r>
      <w:r w:rsidR="00D54CB3" w:rsidRPr="0019348D">
        <w:rPr>
          <w:rFonts w:ascii="Times New Roman" w:hAnsi="Times New Roman"/>
          <w:sz w:val="28"/>
          <w:szCs w:val="28"/>
        </w:rPr>
        <w:t>3 ед</w:t>
      </w:r>
      <w:r w:rsidR="0019348D" w:rsidRPr="0019348D">
        <w:rPr>
          <w:rFonts w:ascii="Times New Roman" w:hAnsi="Times New Roman"/>
          <w:sz w:val="28"/>
          <w:szCs w:val="28"/>
        </w:rPr>
        <w:t>.)</w:t>
      </w:r>
      <w:r w:rsidR="00D54CB3" w:rsidRPr="0019348D">
        <w:rPr>
          <w:rFonts w:ascii="Times New Roman" w:hAnsi="Times New Roman"/>
          <w:sz w:val="28"/>
          <w:szCs w:val="28"/>
        </w:rPr>
        <w:t xml:space="preserve">; </w:t>
      </w:r>
    </w:p>
    <w:p w:rsidR="006C02D6" w:rsidRPr="0019348D" w:rsidRDefault="00D54CB3" w:rsidP="006739BC">
      <w:pPr>
        <w:pStyle w:val="a9"/>
        <w:tabs>
          <w:tab w:val="num" w:pos="720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19348D">
        <w:rPr>
          <w:rFonts w:ascii="Times New Roman" w:hAnsi="Times New Roman"/>
          <w:sz w:val="28"/>
          <w:szCs w:val="28"/>
        </w:rPr>
        <w:t>- м</w:t>
      </w:r>
      <w:r w:rsidR="006C02D6" w:rsidRPr="0019348D">
        <w:rPr>
          <w:rFonts w:ascii="Times New Roman" w:hAnsi="Times New Roman"/>
          <w:sz w:val="28"/>
          <w:szCs w:val="28"/>
        </w:rPr>
        <w:t>узе</w:t>
      </w:r>
      <w:r w:rsidR="0019348D" w:rsidRPr="0019348D">
        <w:rPr>
          <w:rFonts w:ascii="Times New Roman" w:hAnsi="Times New Roman"/>
          <w:sz w:val="28"/>
          <w:szCs w:val="28"/>
        </w:rPr>
        <w:t>ем</w:t>
      </w:r>
      <w:r w:rsidR="006C02D6" w:rsidRPr="0019348D">
        <w:rPr>
          <w:rFonts w:ascii="Times New Roman" w:hAnsi="Times New Roman"/>
          <w:sz w:val="28"/>
          <w:szCs w:val="28"/>
        </w:rPr>
        <w:t xml:space="preserve"> Воинской славы города Петропавловска-Камчатского;</w:t>
      </w:r>
    </w:p>
    <w:p w:rsidR="006C02D6" w:rsidRPr="0019348D" w:rsidRDefault="006C02D6" w:rsidP="006739BC">
      <w:pPr>
        <w:pStyle w:val="a9"/>
        <w:tabs>
          <w:tab w:val="left" w:pos="709"/>
          <w:tab w:val="left" w:pos="993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 w:line="240" w:lineRule="auto"/>
        <w:rPr>
          <w:rFonts w:ascii="Times New Roman" w:hAnsi="Times New Roman"/>
          <w:sz w:val="28"/>
          <w:szCs w:val="28"/>
        </w:rPr>
      </w:pPr>
      <w:r w:rsidRPr="0019348D">
        <w:rPr>
          <w:rFonts w:ascii="Times New Roman" w:hAnsi="Times New Roman"/>
          <w:sz w:val="28"/>
          <w:szCs w:val="28"/>
        </w:rPr>
        <w:t>-</w:t>
      </w:r>
      <w:r w:rsidRPr="0019348D">
        <w:rPr>
          <w:rFonts w:ascii="Times New Roman" w:hAnsi="Times New Roman"/>
          <w:sz w:val="28"/>
          <w:szCs w:val="28"/>
        </w:rPr>
        <w:tab/>
        <w:t>концертн</w:t>
      </w:r>
      <w:r w:rsidR="0019348D" w:rsidRPr="0019348D">
        <w:rPr>
          <w:rFonts w:ascii="Times New Roman" w:hAnsi="Times New Roman"/>
          <w:sz w:val="28"/>
          <w:szCs w:val="28"/>
        </w:rPr>
        <w:t>ой</w:t>
      </w:r>
      <w:r w:rsidRPr="0019348D">
        <w:rPr>
          <w:rFonts w:ascii="Times New Roman" w:hAnsi="Times New Roman"/>
          <w:sz w:val="28"/>
          <w:szCs w:val="28"/>
        </w:rPr>
        <w:t xml:space="preserve"> организаци</w:t>
      </w:r>
      <w:r w:rsidR="0019348D" w:rsidRPr="0019348D">
        <w:rPr>
          <w:rFonts w:ascii="Times New Roman" w:hAnsi="Times New Roman"/>
          <w:sz w:val="28"/>
          <w:szCs w:val="28"/>
        </w:rPr>
        <w:t>ей</w:t>
      </w:r>
      <w:r w:rsidR="00D54CB3" w:rsidRPr="0019348D">
        <w:rPr>
          <w:rFonts w:ascii="Times New Roman" w:hAnsi="Times New Roman"/>
          <w:sz w:val="28"/>
          <w:szCs w:val="28"/>
        </w:rPr>
        <w:t xml:space="preserve"> (</w:t>
      </w:r>
      <w:r w:rsidRPr="0019348D">
        <w:rPr>
          <w:rFonts w:ascii="Times New Roman" w:hAnsi="Times New Roman"/>
          <w:sz w:val="28"/>
          <w:szCs w:val="28"/>
        </w:rPr>
        <w:t>МБУК «Городской оркестр»</w:t>
      </w:r>
      <w:r w:rsidR="00D54CB3" w:rsidRPr="0019348D">
        <w:rPr>
          <w:rFonts w:ascii="Times New Roman" w:hAnsi="Times New Roman"/>
          <w:sz w:val="28"/>
          <w:szCs w:val="28"/>
        </w:rPr>
        <w:t>)</w:t>
      </w:r>
      <w:r w:rsidRPr="0019348D">
        <w:rPr>
          <w:rFonts w:ascii="Times New Roman" w:hAnsi="Times New Roman"/>
          <w:sz w:val="28"/>
          <w:szCs w:val="28"/>
        </w:rPr>
        <w:t>;</w:t>
      </w:r>
    </w:p>
    <w:p w:rsidR="006C02D6" w:rsidRPr="0019348D" w:rsidRDefault="006C02D6" w:rsidP="006739BC">
      <w:pPr>
        <w:tabs>
          <w:tab w:val="left" w:pos="993"/>
          <w:tab w:val="left" w:pos="1134"/>
        </w:tabs>
        <w:spacing w:after="60"/>
        <w:rPr>
          <w:rFonts w:ascii="Times New Roman" w:hAnsi="Times New Roman"/>
          <w:strike/>
          <w:sz w:val="28"/>
          <w:szCs w:val="28"/>
        </w:rPr>
      </w:pPr>
      <w:r w:rsidRPr="0019348D">
        <w:rPr>
          <w:rFonts w:ascii="Times New Roman" w:hAnsi="Times New Roman"/>
          <w:sz w:val="28"/>
          <w:szCs w:val="28"/>
        </w:rPr>
        <w:t>-</w:t>
      </w:r>
      <w:r w:rsidRPr="0019348D">
        <w:rPr>
          <w:rFonts w:ascii="Times New Roman" w:hAnsi="Times New Roman"/>
          <w:sz w:val="28"/>
          <w:szCs w:val="28"/>
        </w:rPr>
        <w:tab/>
        <w:t>учреждени</w:t>
      </w:r>
      <w:r w:rsidR="00D54CB3" w:rsidRPr="0019348D">
        <w:rPr>
          <w:rFonts w:ascii="Times New Roman" w:hAnsi="Times New Roman"/>
          <w:sz w:val="28"/>
          <w:szCs w:val="28"/>
        </w:rPr>
        <w:t>ями</w:t>
      </w:r>
      <w:r w:rsidRPr="0019348D">
        <w:rPr>
          <w:rFonts w:ascii="Times New Roman" w:hAnsi="Times New Roman"/>
          <w:sz w:val="28"/>
          <w:szCs w:val="28"/>
        </w:rPr>
        <w:t xml:space="preserve"> дополнительного образования детей</w:t>
      </w:r>
      <w:r w:rsidR="0019348D" w:rsidRPr="0019348D">
        <w:rPr>
          <w:rFonts w:ascii="Times New Roman" w:hAnsi="Times New Roman"/>
          <w:sz w:val="28"/>
          <w:szCs w:val="28"/>
        </w:rPr>
        <w:t xml:space="preserve"> (7</w:t>
      </w:r>
      <w:r w:rsidR="00D54CB3" w:rsidRPr="0019348D">
        <w:rPr>
          <w:rFonts w:ascii="Times New Roman" w:hAnsi="Times New Roman"/>
          <w:sz w:val="28"/>
          <w:szCs w:val="28"/>
        </w:rPr>
        <w:t xml:space="preserve"> ед</w:t>
      </w:r>
      <w:r w:rsidR="0019348D" w:rsidRPr="0019348D">
        <w:rPr>
          <w:rFonts w:ascii="Times New Roman" w:hAnsi="Times New Roman"/>
          <w:sz w:val="28"/>
          <w:szCs w:val="28"/>
        </w:rPr>
        <w:t>.)</w:t>
      </w:r>
      <w:r w:rsidR="00D54CB3" w:rsidRPr="0019348D">
        <w:rPr>
          <w:rFonts w:ascii="Times New Roman" w:hAnsi="Times New Roman"/>
          <w:sz w:val="28"/>
          <w:szCs w:val="28"/>
        </w:rPr>
        <w:t xml:space="preserve">; </w:t>
      </w:r>
    </w:p>
    <w:p w:rsidR="006C02D6" w:rsidRDefault="006C02D6" w:rsidP="006739BC">
      <w:pPr>
        <w:pStyle w:val="af7"/>
        <w:spacing w:after="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01.01.2016</w:t>
      </w:r>
      <w:r w:rsidRPr="00DE11AE">
        <w:rPr>
          <w:rFonts w:ascii="Times New Roman" w:hAnsi="Times New Roman"/>
          <w:sz w:val="28"/>
          <w:szCs w:val="28"/>
        </w:rPr>
        <w:t xml:space="preserve"> в муниципальных культурно-досуговых учреждениях осуществляли свою деятельность 78 клубных </w:t>
      </w:r>
      <w:r>
        <w:rPr>
          <w:rFonts w:ascii="Times New Roman" w:hAnsi="Times New Roman"/>
          <w:sz w:val="28"/>
          <w:szCs w:val="28"/>
        </w:rPr>
        <w:t>формирований (клубные формирования самодеятельного народного творчества, клубные объединения людей пожилого возраста, любительские клубы, группы, клубы по интересам)</w:t>
      </w:r>
      <w:r w:rsidRPr="007F7F8D">
        <w:rPr>
          <w:rFonts w:ascii="Times New Roman" w:hAnsi="Times New Roman"/>
          <w:sz w:val="28"/>
          <w:szCs w:val="28"/>
        </w:rPr>
        <w:t xml:space="preserve">, в которых реализовали свои творческие способности 1 </w:t>
      </w:r>
      <w:r>
        <w:rPr>
          <w:rFonts w:ascii="Times New Roman" w:hAnsi="Times New Roman"/>
          <w:sz w:val="28"/>
          <w:szCs w:val="28"/>
        </w:rPr>
        <w:t>953</w:t>
      </w:r>
      <w:r w:rsidRPr="007F7F8D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7F7F8D">
        <w:rPr>
          <w:rFonts w:ascii="Times New Roman" w:hAnsi="Times New Roman"/>
          <w:sz w:val="28"/>
          <w:szCs w:val="28"/>
        </w:rPr>
        <w:t xml:space="preserve">. </w:t>
      </w:r>
    </w:p>
    <w:p w:rsidR="00D54CB3" w:rsidRDefault="006C02D6" w:rsidP="006739BC">
      <w:pPr>
        <w:widowControl w:val="0"/>
        <w:spacing w:after="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подведомственными учреждениями культуры совместно с Управлением культуры, спорта и социального развития проводятся социально-</w:t>
      </w:r>
      <w:r w:rsidRPr="00952245">
        <w:rPr>
          <w:rFonts w:ascii="Times New Roman" w:hAnsi="Times New Roman"/>
          <w:sz w:val="28"/>
          <w:szCs w:val="28"/>
        </w:rPr>
        <w:t xml:space="preserve">значимые </w:t>
      </w:r>
      <w:r>
        <w:rPr>
          <w:rFonts w:ascii="Times New Roman" w:hAnsi="Times New Roman"/>
          <w:sz w:val="28"/>
          <w:szCs w:val="28"/>
        </w:rPr>
        <w:t xml:space="preserve">культурные </w:t>
      </w:r>
      <w:r w:rsidRPr="00952245">
        <w:rPr>
          <w:rFonts w:ascii="Times New Roman" w:hAnsi="Times New Roman"/>
          <w:sz w:val="28"/>
          <w:szCs w:val="28"/>
        </w:rPr>
        <w:t>мероприятия</w:t>
      </w:r>
      <w:r>
        <w:rPr>
          <w:rFonts w:ascii="Times New Roman" w:hAnsi="Times New Roman"/>
          <w:sz w:val="28"/>
          <w:szCs w:val="28"/>
        </w:rPr>
        <w:t xml:space="preserve"> и праздники. </w:t>
      </w:r>
      <w:r w:rsidR="00D54CB3">
        <w:rPr>
          <w:rFonts w:ascii="Times New Roman" w:hAnsi="Times New Roman"/>
          <w:sz w:val="28"/>
          <w:szCs w:val="28"/>
        </w:rPr>
        <w:t>В</w:t>
      </w:r>
      <w:r w:rsidRPr="0054029A">
        <w:rPr>
          <w:rFonts w:ascii="Times New Roman" w:hAnsi="Times New Roman"/>
          <w:sz w:val="28"/>
          <w:szCs w:val="28"/>
        </w:rPr>
        <w:t xml:space="preserve"> 2015 году подготовлено и проведено 971 культурно-досуговое мероприятие. </w:t>
      </w:r>
    </w:p>
    <w:p w:rsidR="006C02D6" w:rsidRPr="0054029A" w:rsidRDefault="006C02D6" w:rsidP="006739BC">
      <w:pPr>
        <w:widowControl w:val="0"/>
        <w:spacing w:after="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8B65AC">
        <w:rPr>
          <w:rFonts w:ascii="Times New Roman" w:hAnsi="Times New Roman"/>
          <w:sz w:val="28"/>
          <w:szCs w:val="28"/>
        </w:rPr>
        <w:t>ультурно</w:t>
      </w:r>
      <w:r>
        <w:rPr>
          <w:rFonts w:ascii="Times New Roman" w:hAnsi="Times New Roman"/>
          <w:sz w:val="28"/>
          <w:szCs w:val="28"/>
        </w:rPr>
        <w:t>-досуговые</w:t>
      </w:r>
      <w:r w:rsidRPr="008B65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учреждения активно работают с соци</w:t>
      </w:r>
      <w:r w:rsidRPr="001043B1">
        <w:rPr>
          <w:rFonts w:ascii="Times New Roman" w:hAnsi="Times New Roman"/>
          <w:sz w:val="28"/>
          <w:szCs w:val="28"/>
        </w:rPr>
        <w:t>ально</w:t>
      </w:r>
      <w:r>
        <w:rPr>
          <w:rFonts w:ascii="Times New Roman" w:hAnsi="Times New Roman"/>
          <w:sz w:val="28"/>
          <w:szCs w:val="28"/>
        </w:rPr>
        <w:t>-незащище</w:t>
      </w:r>
      <w:r w:rsidRPr="001043B1">
        <w:rPr>
          <w:rFonts w:ascii="Times New Roman" w:hAnsi="Times New Roman"/>
          <w:sz w:val="28"/>
          <w:szCs w:val="28"/>
        </w:rPr>
        <w:t>нными слоями населения</w:t>
      </w:r>
      <w:r>
        <w:rPr>
          <w:rFonts w:ascii="Times New Roman" w:hAnsi="Times New Roman"/>
          <w:sz w:val="28"/>
          <w:szCs w:val="28"/>
        </w:rPr>
        <w:t xml:space="preserve"> городского округа, учащимися образовательных учреждений, </w:t>
      </w:r>
      <w:r w:rsidRPr="0099370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оеннослужащими, общественными объединениями, творческими союзами, советами </w:t>
      </w:r>
      <w:r w:rsidRPr="00993709">
        <w:rPr>
          <w:rFonts w:ascii="Times New Roman" w:hAnsi="Times New Roman"/>
          <w:sz w:val="28"/>
          <w:szCs w:val="28"/>
        </w:rPr>
        <w:t>ветер</w:t>
      </w:r>
      <w:r>
        <w:rPr>
          <w:rFonts w:ascii="Times New Roman" w:hAnsi="Times New Roman"/>
          <w:sz w:val="28"/>
          <w:szCs w:val="28"/>
        </w:rPr>
        <w:t xml:space="preserve">анов Великой отечественной войны и локальных войн, союзами пенсионеров, инвалидами, многодетными </w:t>
      </w:r>
      <w:r w:rsidRPr="00993709">
        <w:rPr>
          <w:rFonts w:ascii="Times New Roman" w:hAnsi="Times New Roman"/>
          <w:sz w:val="28"/>
          <w:szCs w:val="28"/>
        </w:rPr>
        <w:t xml:space="preserve">семьями и </w:t>
      </w:r>
      <w:r>
        <w:rPr>
          <w:rFonts w:ascii="Times New Roman" w:hAnsi="Times New Roman"/>
          <w:sz w:val="28"/>
          <w:szCs w:val="28"/>
        </w:rPr>
        <w:t>другими категориями населения.</w:t>
      </w:r>
    </w:p>
    <w:p w:rsidR="006C02D6" w:rsidRPr="0032229D" w:rsidRDefault="006C02D6" w:rsidP="006739BC">
      <w:pPr>
        <w:spacing w:after="60"/>
        <w:rPr>
          <w:rFonts w:ascii="Times New Roman" w:hAnsi="Times New Roman"/>
          <w:sz w:val="28"/>
          <w:szCs w:val="28"/>
        </w:rPr>
      </w:pPr>
      <w:r w:rsidRPr="0032229D">
        <w:rPr>
          <w:rFonts w:ascii="Times New Roman" w:hAnsi="Times New Roman"/>
          <w:sz w:val="28"/>
          <w:szCs w:val="28"/>
        </w:rPr>
        <w:t>В город</w:t>
      </w:r>
      <w:r>
        <w:rPr>
          <w:rFonts w:ascii="Times New Roman" w:hAnsi="Times New Roman"/>
          <w:sz w:val="28"/>
          <w:szCs w:val="28"/>
        </w:rPr>
        <w:t>ском округе</w:t>
      </w:r>
      <w:r w:rsidRPr="0032229D">
        <w:rPr>
          <w:rFonts w:ascii="Times New Roman" w:hAnsi="Times New Roman"/>
          <w:sz w:val="28"/>
          <w:szCs w:val="28"/>
        </w:rPr>
        <w:t xml:space="preserve"> функционирует 6 детских музыкальных и одна художественная школа, в которых обучается 1 549 детей на 12 отделениях. Общая численность преподавателей и концертмейстеров составляет 176 человек. </w:t>
      </w:r>
    </w:p>
    <w:p w:rsidR="00465C7F" w:rsidRPr="006D420D" w:rsidRDefault="006C02D6" w:rsidP="00465C7F">
      <w:pPr>
        <w:spacing w:after="60"/>
        <w:rPr>
          <w:rFonts w:ascii="Times New Roman" w:hAnsi="Times New Roman"/>
          <w:sz w:val="28"/>
          <w:szCs w:val="28"/>
        </w:rPr>
      </w:pPr>
      <w:r w:rsidRPr="0032229D">
        <w:rPr>
          <w:rFonts w:ascii="Times New Roman" w:hAnsi="Times New Roman"/>
          <w:sz w:val="28"/>
          <w:szCs w:val="28"/>
        </w:rPr>
        <w:t>В 2015 году более 300 учащихся детских музыкальных и художественной школ приняли участие в 30 всероссийских и международных конкурсах и фестивалях</w:t>
      </w:r>
      <w:r w:rsidR="00DF2796">
        <w:rPr>
          <w:rFonts w:ascii="Times New Roman" w:hAnsi="Times New Roman"/>
          <w:sz w:val="28"/>
          <w:szCs w:val="28"/>
        </w:rPr>
        <w:t xml:space="preserve"> </w:t>
      </w:r>
      <w:r w:rsidR="00465C7F" w:rsidRPr="006D420D">
        <w:rPr>
          <w:rFonts w:ascii="Times New Roman" w:hAnsi="Times New Roman"/>
          <w:sz w:val="28"/>
          <w:szCs w:val="28"/>
        </w:rPr>
        <w:t>(г. Москва, г. Санкт-Петербург, Германия, Болгария</w:t>
      </w:r>
      <w:r w:rsidR="00DF2796">
        <w:rPr>
          <w:rFonts w:ascii="Times New Roman" w:hAnsi="Times New Roman"/>
          <w:sz w:val="28"/>
          <w:szCs w:val="28"/>
        </w:rPr>
        <w:t>),</w:t>
      </w:r>
      <w:r w:rsidR="00F25ADC" w:rsidRPr="006D420D">
        <w:rPr>
          <w:rFonts w:ascii="Times New Roman" w:hAnsi="Times New Roman"/>
          <w:sz w:val="28"/>
          <w:szCs w:val="28"/>
        </w:rPr>
        <w:t xml:space="preserve"> </w:t>
      </w:r>
      <w:r w:rsidR="00DF2796" w:rsidRPr="0032229D">
        <w:rPr>
          <w:rFonts w:ascii="Times New Roman" w:hAnsi="Times New Roman"/>
          <w:sz w:val="28"/>
          <w:szCs w:val="28"/>
        </w:rPr>
        <w:t>в краевых конкурсах: «Юные дарования Камчатки», «Весенние голоса», «Юный художник» и др</w:t>
      </w:r>
      <w:r w:rsidR="00DF2796">
        <w:rPr>
          <w:rFonts w:ascii="Times New Roman" w:hAnsi="Times New Roman"/>
          <w:sz w:val="28"/>
          <w:szCs w:val="28"/>
        </w:rPr>
        <w:t>угих.</w:t>
      </w:r>
    </w:p>
    <w:p w:rsidR="006C02D6" w:rsidRPr="00877604" w:rsidRDefault="006C02D6" w:rsidP="006739BC">
      <w:pPr>
        <w:pStyle w:val="af2"/>
        <w:spacing w:before="0" w:after="60" w:afterAutospacing="0"/>
        <w:ind w:firstLine="709"/>
        <w:rPr>
          <w:sz w:val="28"/>
          <w:szCs w:val="28"/>
        </w:rPr>
      </w:pPr>
      <w:r w:rsidRPr="00877604">
        <w:rPr>
          <w:sz w:val="28"/>
          <w:szCs w:val="28"/>
        </w:rPr>
        <w:lastRenderedPageBreak/>
        <w:t>Библиотечное обслуживание населения городского округа осуществляет МБУК «Центральная городская библиотека», в которую входит 13 библиотек-филиалов. Имеющаяся в фондах городских библиотек литература не только физически изношена, но и морально устарела. Планомерное обновление фондов позволяет стабилизировать процесс списания книг.</w:t>
      </w:r>
    </w:p>
    <w:p w:rsidR="00DF2796" w:rsidRDefault="006C02D6" w:rsidP="006739BC">
      <w:pPr>
        <w:widowControl w:val="0"/>
        <w:spacing w:after="60"/>
        <w:rPr>
          <w:rFonts w:ascii="Times New Roman" w:hAnsi="Times New Roman"/>
          <w:sz w:val="28"/>
          <w:szCs w:val="28"/>
        </w:rPr>
      </w:pPr>
      <w:r w:rsidRPr="00877604">
        <w:rPr>
          <w:rFonts w:ascii="Times New Roman" w:hAnsi="Times New Roman"/>
          <w:sz w:val="28"/>
          <w:szCs w:val="28"/>
        </w:rPr>
        <w:t>На официальном сайте МБУК «Центральная городская библиотека» регулярно размещаются анонсы мероприятий, отчет о прошедших акциях и мероприятиях. Сотрудники и партнеры библиотеки публикуют статьи, обзоры о книжных новинках, краеведческую информацию.</w:t>
      </w:r>
    </w:p>
    <w:p w:rsidR="006C02D6" w:rsidRPr="00877604" w:rsidRDefault="006C02D6" w:rsidP="006739BC">
      <w:pPr>
        <w:widowControl w:val="0"/>
        <w:spacing w:after="60"/>
        <w:rPr>
          <w:rFonts w:ascii="Times New Roman" w:hAnsi="Times New Roman"/>
          <w:sz w:val="28"/>
          <w:szCs w:val="28"/>
        </w:rPr>
      </w:pPr>
      <w:proofErr w:type="gramStart"/>
      <w:r w:rsidRPr="00877604">
        <w:rPr>
          <w:rFonts w:ascii="Times New Roman" w:hAnsi="Times New Roman"/>
          <w:sz w:val="28"/>
          <w:szCs w:val="28"/>
        </w:rPr>
        <w:t xml:space="preserve">На сайте читателям доступны библиотечные услуги в электронном виде: запись в библиотеку, доступ к электронным каталогам, подготовка библиографических справок, электронный абонемент </w:t>
      </w:r>
      <w:r>
        <w:rPr>
          <w:rFonts w:ascii="Times New Roman" w:hAnsi="Times New Roman"/>
          <w:sz w:val="28"/>
          <w:szCs w:val="28"/>
        </w:rPr>
        <w:t>-</w:t>
      </w:r>
      <w:r w:rsidRPr="00877604">
        <w:rPr>
          <w:rFonts w:ascii="Times New Roman" w:hAnsi="Times New Roman"/>
          <w:sz w:val="28"/>
          <w:szCs w:val="28"/>
        </w:rPr>
        <w:t xml:space="preserve"> выдача книг в электронном виде через информационную систему Литре-с и продление срока сдачи взятой литературы (данная услуга используется впервые).</w:t>
      </w:r>
      <w:proofErr w:type="gramEnd"/>
    </w:p>
    <w:p w:rsidR="006C02D6" w:rsidRPr="00877604" w:rsidRDefault="006C02D6" w:rsidP="006739BC">
      <w:pPr>
        <w:pStyle w:val="af2"/>
        <w:spacing w:before="0" w:after="60" w:afterAutospacing="0"/>
        <w:ind w:firstLine="709"/>
        <w:rPr>
          <w:sz w:val="28"/>
          <w:szCs w:val="28"/>
        </w:rPr>
      </w:pPr>
      <w:r w:rsidRPr="00877604">
        <w:rPr>
          <w:sz w:val="28"/>
          <w:szCs w:val="28"/>
        </w:rPr>
        <w:t>На базе Информационно-библиотечного центра для детей и юношества открыт Литературный музей имени Г.Г. Поротова.</w:t>
      </w:r>
    </w:p>
    <w:p w:rsidR="006C02D6" w:rsidRPr="00877604" w:rsidRDefault="006C02D6" w:rsidP="006739BC">
      <w:pPr>
        <w:widowControl w:val="0"/>
        <w:spacing w:after="60"/>
        <w:rPr>
          <w:rFonts w:ascii="Times New Roman" w:hAnsi="Times New Roman"/>
          <w:sz w:val="28"/>
          <w:szCs w:val="28"/>
        </w:rPr>
      </w:pPr>
      <w:r w:rsidRPr="00877604">
        <w:rPr>
          <w:rFonts w:ascii="Times New Roman" w:hAnsi="Times New Roman"/>
          <w:sz w:val="28"/>
          <w:szCs w:val="28"/>
        </w:rPr>
        <w:t>Впервые в Камчатском крае в ноябре</w:t>
      </w:r>
      <w:r>
        <w:rPr>
          <w:rFonts w:ascii="Times New Roman" w:hAnsi="Times New Roman"/>
          <w:sz w:val="28"/>
          <w:szCs w:val="28"/>
        </w:rPr>
        <w:t xml:space="preserve"> 2015 года</w:t>
      </w:r>
      <w:r w:rsidRPr="00877604">
        <w:rPr>
          <w:rFonts w:ascii="Times New Roman" w:hAnsi="Times New Roman"/>
          <w:sz w:val="28"/>
          <w:szCs w:val="28"/>
        </w:rPr>
        <w:t xml:space="preserve"> состоялась акция «Ночь иску</w:t>
      </w:r>
      <w:proofErr w:type="gramStart"/>
      <w:r w:rsidRPr="00877604">
        <w:rPr>
          <w:rFonts w:ascii="Times New Roman" w:hAnsi="Times New Roman"/>
          <w:sz w:val="28"/>
          <w:szCs w:val="28"/>
        </w:rPr>
        <w:t>сств в б</w:t>
      </w:r>
      <w:proofErr w:type="gramEnd"/>
      <w:r w:rsidRPr="00877604">
        <w:rPr>
          <w:rFonts w:ascii="Times New Roman" w:hAnsi="Times New Roman"/>
          <w:sz w:val="28"/>
          <w:szCs w:val="28"/>
        </w:rPr>
        <w:t xml:space="preserve">иблиотеке «Все музы в гости к нам». Акция проходила в рамках </w:t>
      </w:r>
      <w:r>
        <w:rPr>
          <w:rFonts w:ascii="Times New Roman" w:hAnsi="Times New Roman"/>
          <w:sz w:val="28"/>
          <w:szCs w:val="28"/>
        </w:rPr>
        <w:t>«</w:t>
      </w:r>
      <w:r w:rsidRPr="00877604">
        <w:rPr>
          <w:rFonts w:ascii="Times New Roman" w:hAnsi="Times New Roman"/>
          <w:sz w:val="28"/>
          <w:szCs w:val="28"/>
        </w:rPr>
        <w:t>года Литературы</w:t>
      </w:r>
      <w:r>
        <w:rPr>
          <w:rFonts w:ascii="Times New Roman" w:hAnsi="Times New Roman"/>
          <w:sz w:val="28"/>
          <w:szCs w:val="28"/>
        </w:rPr>
        <w:t>»</w:t>
      </w:r>
      <w:r w:rsidRPr="00877604">
        <w:rPr>
          <w:rFonts w:ascii="Times New Roman" w:hAnsi="Times New Roman"/>
          <w:sz w:val="28"/>
          <w:szCs w:val="28"/>
        </w:rPr>
        <w:t xml:space="preserve"> и в преддверии «Года кино». В апреле </w:t>
      </w:r>
      <w:r>
        <w:rPr>
          <w:rFonts w:ascii="Times New Roman" w:hAnsi="Times New Roman"/>
          <w:sz w:val="28"/>
          <w:szCs w:val="28"/>
        </w:rPr>
        <w:t xml:space="preserve">2015 года </w:t>
      </w:r>
      <w:r w:rsidRPr="00877604">
        <w:rPr>
          <w:rFonts w:ascii="Times New Roman" w:hAnsi="Times New Roman"/>
          <w:sz w:val="28"/>
          <w:szCs w:val="28"/>
        </w:rPr>
        <w:t>прошла международная акция «</w:t>
      </w:r>
      <w:proofErr w:type="spellStart"/>
      <w:r w:rsidRPr="00877604">
        <w:rPr>
          <w:rFonts w:ascii="Times New Roman" w:hAnsi="Times New Roman"/>
          <w:sz w:val="28"/>
          <w:szCs w:val="28"/>
        </w:rPr>
        <w:t>Библионочь</w:t>
      </w:r>
      <w:proofErr w:type="spellEnd"/>
      <w:r w:rsidRPr="00877604">
        <w:rPr>
          <w:rFonts w:ascii="Times New Roman" w:hAnsi="Times New Roman"/>
          <w:sz w:val="28"/>
          <w:szCs w:val="28"/>
        </w:rPr>
        <w:t xml:space="preserve"> 2015», которая с большим интересом была воспринята жителями города.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604">
        <w:rPr>
          <w:rFonts w:ascii="Times New Roman" w:hAnsi="Times New Roman"/>
          <w:sz w:val="28"/>
          <w:szCs w:val="28"/>
        </w:rPr>
        <w:t xml:space="preserve">Проведен </w:t>
      </w:r>
      <w:r>
        <w:rPr>
          <w:rFonts w:ascii="Times New Roman" w:hAnsi="Times New Roman"/>
          <w:sz w:val="28"/>
          <w:szCs w:val="28"/>
        </w:rPr>
        <w:t>третий</w:t>
      </w:r>
      <w:r w:rsidRPr="00877604">
        <w:rPr>
          <w:rFonts w:ascii="Times New Roman" w:hAnsi="Times New Roman"/>
          <w:sz w:val="28"/>
          <w:szCs w:val="28"/>
        </w:rPr>
        <w:t xml:space="preserve"> Городской библиотечный Форум «Библиотека, информация, успех. Проектная и инновационная деятельность МБУК «Центральная городская библиотека».</w:t>
      </w:r>
    </w:p>
    <w:p w:rsidR="006C02D6" w:rsidRPr="00564AEB" w:rsidRDefault="006C02D6" w:rsidP="006739BC">
      <w:pPr>
        <w:spacing w:after="60"/>
        <w:rPr>
          <w:rFonts w:ascii="Times New Roman" w:hAnsi="Times New Roman"/>
          <w:sz w:val="28"/>
          <w:szCs w:val="28"/>
        </w:rPr>
      </w:pPr>
      <w:r w:rsidRPr="00564AEB">
        <w:rPr>
          <w:rFonts w:ascii="Times New Roman" w:eastAsia="Lucida Sans Unicode" w:hAnsi="Times New Roman"/>
          <w:sz w:val="28"/>
          <w:szCs w:val="28"/>
        </w:rPr>
        <w:t xml:space="preserve">Одним из приоритетных направлений деятельности в сфере культуры является сохранение и </w:t>
      </w:r>
      <w:r w:rsidRPr="00564AEB">
        <w:rPr>
          <w:rFonts w:ascii="Times New Roman" w:hAnsi="Times New Roman"/>
          <w:sz w:val="28"/>
          <w:szCs w:val="28"/>
        </w:rPr>
        <w:t>популяризация</w:t>
      </w:r>
      <w:r w:rsidRPr="00564AEB">
        <w:rPr>
          <w:rFonts w:ascii="Times New Roman" w:eastAsia="Lucida Sans Unicode" w:hAnsi="Times New Roman"/>
          <w:sz w:val="28"/>
          <w:szCs w:val="28"/>
        </w:rPr>
        <w:t xml:space="preserve"> историко-культурного наследия города.</w:t>
      </w:r>
      <w:r w:rsidRPr="00564AEB">
        <w:rPr>
          <w:rFonts w:ascii="Times New Roman" w:hAnsi="Times New Roman"/>
          <w:sz w:val="28"/>
          <w:szCs w:val="28"/>
        </w:rPr>
        <w:t xml:space="preserve"> В 2015 году выполнены специализированные ремонтные работы по приведению в надлежащее состояние территории, прилегающей к объектам культурного наследия</w:t>
      </w:r>
      <w:r w:rsidRPr="00564AEB">
        <w:rPr>
          <w:rFonts w:ascii="Times New Roman" w:hAnsi="Times New Roman"/>
          <w:i/>
          <w:sz w:val="28"/>
          <w:szCs w:val="28"/>
        </w:rPr>
        <w:t xml:space="preserve"> </w:t>
      </w:r>
      <w:r w:rsidRPr="00564AEB">
        <w:rPr>
          <w:rFonts w:ascii="Times New Roman" w:hAnsi="Times New Roman"/>
          <w:sz w:val="28"/>
          <w:szCs w:val="28"/>
        </w:rPr>
        <w:t>федерального значения: ремонт лестничных подходов к памятнику</w:t>
      </w:r>
      <w:r>
        <w:rPr>
          <w:rFonts w:ascii="Times New Roman" w:hAnsi="Times New Roman"/>
          <w:sz w:val="28"/>
          <w:szCs w:val="28"/>
        </w:rPr>
        <w:t xml:space="preserve"> Берингу </w:t>
      </w:r>
      <w:proofErr w:type="spellStart"/>
      <w:r>
        <w:rPr>
          <w:rFonts w:ascii="Times New Roman" w:hAnsi="Times New Roman"/>
          <w:sz w:val="28"/>
          <w:szCs w:val="28"/>
        </w:rPr>
        <w:t>Витусу</w:t>
      </w:r>
      <w:proofErr w:type="spellEnd"/>
      <w:r>
        <w:rPr>
          <w:rFonts w:ascii="Times New Roman" w:hAnsi="Times New Roman"/>
          <w:sz w:val="28"/>
          <w:szCs w:val="28"/>
        </w:rPr>
        <w:t xml:space="preserve"> (1681-</w:t>
      </w:r>
      <w:r w:rsidRPr="00564AEB">
        <w:rPr>
          <w:rFonts w:ascii="Times New Roman" w:hAnsi="Times New Roman"/>
          <w:sz w:val="28"/>
          <w:szCs w:val="28"/>
        </w:rPr>
        <w:t>1741); ремонт тротуарного покрытия памятника воинам Советской Армии - освободителям Курильских островов в 1945 году.</w:t>
      </w:r>
    </w:p>
    <w:p w:rsidR="006C02D6" w:rsidRPr="006657AF" w:rsidRDefault="006C02D6" w:rsidP="006739BC">
      <w:pPr>
        <w:autoSpaceDE w:val="0"/>
        <w:autoSpaceDN w:val="0"/>
        <w:adjustRightInd w:val="0"/>
        <w:spacing w:after="60"/>
        <w:rPr>
          <w:rFonts w:ascii="Times New Roman" w:hAnsi="Times New Roman"/>
          <w:sz w:val="28"/>
          <w:szCs w:val="28"/>
        </w:rPr>
      </w:pPr>
      <w:r w:rsidRPr="006657AF">
        <w:rPr>
          <w:rFonts w:ascii="Times New Roman" w:hAnsi="Times New Roman"/>
          <w:sz w:val="28"/>
          <w:szCs w:val="28"/>
        </w:rPr>
        <w:t xml:space="preserve">В </w:t>
      </w:r>
      <w:r w:rsidR="00DF2796">
        <w:rPr>
          <w:rFonts w:ascii="Times New Roman" w:hAnsi="Times New Roman"/>
          <w:sz w:val="28"/>
          <w:szCs w:val="28"/>
        </w:rPr>
        <w:t>прогнозируемом периоде</w:t>
      </w:r>
      <w:r w:rsidRPr="006657AF">
        <w:rPr>
          <w:rFonts w:ascii="Times New Roman" w:hAnsi="Times New Roman"/>
          <w:sz w:val="28"/>
          <w:szCs w:val="28"/>
        </w:rPr>
        <w:t xml:space="preserve"> развитие сферы культуры в городском округе будет включать мероприятия по следующим направлениям</w:t>
      </w:r>
      <w:r w:rsidR="00DF2796">
        <w:rPr>
          <w:rFonts w:ascii="Times New Roman" w:hAnsi="Times New Roman"/>
          <w:sz w:val="28"/>
          <w:szCs w:val="28"/>
        </w:rPr>
        <w:t>:</w:t>
      </w:r>
    </w:p>
    <w:p w:rsidR="006C02D6" w:rsidRPr="006657AF" w:rsidRDefault="00DF2796" w:rsidP="00C4256B">
      <w:pPr>
        <w:spacing w:before="120" w:after="0"/>
        <w:rPr>
          <w:rFonts w:ascii="Times New Roman" w:hAnsi="Times New Roman"/>
          <w:sz w:val="28"/>
          <w:szCs w:val="28"/>
        </w:rPr>
      </w:pPr>
      <w:bookmarkStart w:id="68" w:name="_Toc368930215"/>
      <w:bookmarkStart w:id="69" w:name="_Toc368930839"/>
      <w:bookmarkStart w:id="70" w:name="_Toc368988898"/>
      <w:bookmarkStart w:id="71" w:name="_Toc400529677"/>
      <w:r>
        <w:rPr>
          <w:rFonts w:ascii="Times New Roman" w:hAnsi="Times New Roman"/>
          <w:i/>
          <w:sz w:val="28"/>
          <w:szCs w:val="28"/>
        </w:rPr>
        <w:t xml:space="preserve">в </w:t>
      </w:r>
      <w:r w:rsidR="006C02D6" w:rsidRPr="00DF2796">
        <w:rPr>
          <w:rFonts w:ascii="Times New Roman" w:hAnsi="Times New Roman"/>
          <w:i/>
          <w:sz w:val="28"/>
          <w:szCs w:val="28"/>
        </w:rPr>
        <w:t>сфере дополнительного образования детей</w:t>
      </w:r>
      <w:r w:rsidR="006C02D6" w:rsidRPr="006657AF">
        <w:rPr>
          <w:rFonts w:ascii="Times New Roman" w:hAnsi="Times New Roman"/>
          <w:sz w:val="28"/>
          <w:szCs w:val="28"/>
        </w:rPr>
        <w:t>:</w:t>
      </w:r>
    </w:p>
    <w:p w:rsidR="006C02D6" w:rsidRPr="006657AF" w:rsidRDefault="006C02D6" w:rsidP="00C4256B">
      <w:pPr>
        <w:spacing w:after="0"/>
        <w:rPr>
          <w:rFonts w:ascii="Times New Roman" w:hAnsi="Times New Roman"/>
          <w:sz w:val="28"/>
          <w:szCs w:val="28"/>
        </w:rPr>
      </w:pPr>
      <w:r w:rsidRPr="006657AF">
        <w:rPr>
          <w:rFonts w:ascii="Times New Roman" w:hAnsi="Times New Roman"/>
          <w:sz w:val="28"/>
          <w:szCs w:val="28"/>
        </w:rPr>
        <w:t xml:space="preserve">- </w:t>
      </w:r>
      <w:r w:rsidR="00196D23">
        <w:rPr>
          <w:rFonts w:ascii="Times New Roman" w:hAnsi="Times New Roman"/>
          <w:sz w:val="28"/>
          <w:szCs w:val="28"/>
        </w:rPr>
        <w:t xml:space="preserve">работа с талантливыми детьми, </w:t>
      </w:r>
      <w:r w:rsidRPr="006657AF">
        <w:rPr>
          <w:rFonts w:ascii="Times New Roman" w:hAnsi="Times New Roman"/>
          <w:sz w:val="28"/>
          <w:szCs w:val="28"/>
        </w:rPr>
        <w:t xml:space="preserve">обеспечение участия </w:t>
      </w:r>
      <w:r w:rsidR="00196D23">
        <w:rPr>
          <w:rFonts w:ascii="Times New Roman" w:hAnsi="Times New Roman"/>
          <w:sz w:val="28"/>
          <w:szCs w:val="28"/>
        </w:rPr>
        <w:t>обучающихся</w:t>
      </w:r>
      <w:r w:rsidRPr="006657AF">
        <w:rPr>
          <w:rFonts w:ascii="Times New Roman" w:hAnsi="Times New Roman"/>
          <w:sz w:val="28"/>
          <w:szCs w:val="28"/>
        </w:rPr>
        <w:t xml:space="preserve"> в конкурсах, фестивалях, выстав</w:t>
      </w:r>
      <w:r w:rsidR="00DF2796">
        <w:rPr>
          <w:rFonts w:ascii="Times New Roman" w:hAnsi="Times New Roman"/>
          <w:sz w:val="28"/>
          <w:szCs w:val="28"/>
        </w:rPr>
        <w:t>ках (международных, российских);</w:t>
      </w:r>
    </w:p>
    <w:p w:rsidR="006C02D6" w:rsidRPr="006657AF" w:rsidRDefault="006C02D6" w:rsidP="00C4256B">
      <w:pPr>
        <w:spacing w:after="0"/>
        <w:rPr>
          <w:rFonts w:ascii="Times New Roman" w:hAnsi="Times New Roman"/>
          <w:sz w:val="28"/>
          <w:szCs w:val="28"/>
        </w:rPr>
      </w:pPr>
      <w:r w:rsidRPr="006657AF">
        <w:rPr>
          <w:rFonts w:ascii="Times New Roman" w:hAnsi="Times New Roman"/>
          <w:sz w:val="28"/>
          <w:szCs w:val="28"/>
        </w:rPr>
        <w:t>- проведе</w:t>
      </w:r>
      <w:r w:rsidR="00DF2796">
        <w:rPr>
          <w:rFonts w:ascii="Times New Roman" w:hAnsi="Times New Roman"/>
          <w:sz w:val="28"/>
          <w:szCs w:val="28"/>
        </w:rPr>
        <w:t>ние работ по ремонту учреждений;</w:t>
      </w:r>
    </w:p>
    <w:p w:rsidR="006C02D6" w:rsidRPr="00DF2796" w:rsidRDefault="00DF2796" w:rsidP="00C4256B">
      <w:pPr>
        <w:spacing w:before="60" w:after="0"/>
        <w:rPr>
          <w:rFonts w:ascii="Times New Roman" w:hAnsi="Times New Roman"/>
          <w:i/>
          <w:sz w:val="28"/>
          <w:szCs w:val="28"/>
        </w:rPr>
      </w:pPr>
      <w:r w:rsidRPr="00DF2796">
        <w:rPr>
          <w:rFonts w:ascii="Times New Roman" w:hAnsi="Times New Roman"/>
          <w:i/>
          <w:sz w:val="28"/>
          <w:szCs w:val="28"/>
        </w:rPr>
        <w:t xml:space="preserve">в </w:t>
      </w:r>
      <w:r w:rsidR="006C02D6" w:rsidRPr="00DF2796">
        <w:rPr>
          <w:rFonts w:ascii="Times New Roman" w:hAnsi="Times New Roman"/>
          <w:i/>
          <w:sz w:val="28"/>
          <w:szCs w:val="28"/>
        </w:rPr>
        <w:t>сфере культурно-досуговой деятельности:</w:t>
      </w:r>
    </w:p>
    <w:p w:rsidR="006C02D6" w:rsidRPr="006657AF" w:rsidRDefault="006C02D6" w:rsidP="00C4256B">
      <w:pPr>
        <w:spacing w:after="0"/>
        <w:rPr>
          <w:rFonts w:ascii="Times New Roman" w:hAnsi="Times New Roman"/>
          <w:sz w:val="28"/>
          <w:szCs w:val="28"/>
        </w:rPr>
      </w:pPr>
      <w:r w:rsidRPr="006657AF">
        <w:rPr>
          <w:rFonts w:ascii="Times New Roman" w:hAnsi="Times New Roman"/>
          <w:sz w:val="28"/>
          <w:szCs w:val="28"/>
        </w:rPr>
        <w:t>- организация участия самодеятельных коллективов в конкурсах, фестивалях, выставках (международных, российских)</w:t>
      </w:r>
      <w:r w:rsidR="00196D23">
        <w:rPr>
          <w:rFonts w:ascii="Times New Roman" w:hAnsi="Times New Roman"/>
          <w:sz w:val="28"/>
          <w:szCs w:val="28"/>
        </w:rPr>
        <w:t>;</w:t>
      </w:r>
    </w:p>
    <w:p w:rsidR="006C02D6" w:rsidRPr="00DF2796" w:rsidRDefault="00DF2796" w:rsidP="00C4256B">
      <w:pPr>
        <w:spacing w:before="60" w:after="0"/>
        <w:rPr>
          <w:rFonts w:ascii="Times New Roman" w:hAnsi="Times New Roman"/>
          <w:i/>
          <w:sz w:val="28"/>
          <w:szCs w:val="28"/>
        </w:rPr>
      </w:pPr>
      <w:r w:rsidRPr="00DF2796">
        <w:rPr>
          <w:rFonts w:ascii="Times New Roman" w:hAnsi="Times New Roman"/>
          <w:i/>
          <w:sz w:val="28"/>
          <w:szCs w:val="28"/>
        </w:rPr>
        <w:t>в</w:t>
      </w:r>
      <w:r w:rsidR="006C02D6" w:rsidRPr="00DF2796">
        <w:rPr>
          <w:rFonts w:ascii="Times New Roman" w:hAnsi="Times New Roman"/>
          <w:i/>
          <w:sz w:val="28"/>
          <w:szCs w:val="28"/>
        </w:rPr>
        <w:t xml:space="preserve"> сфере библиотечного обслуживания:</w:t>
      </w:r>
    </w:p>
    <w:p w:rsidR="006C02D6" w:rsidRPr="006657AF" w:rsidRDefault="006C02D6" w:rsidP="00C4256B">
      <w:pPr>
        <w:spacing w:after="0"/>
        <w:rPr>
          <w:rFonts w:ascii="Times New Roman" w:hAnsi="Times New Roman"/>
          <w:sz w:val="28"/>
          <w:szCs w:val="28"/>
        </w:rPr>
      </w:pPr>
      <w:r w:rsidRPr="006657AF">
        <w:rPr>
          <w:rFonts w:ascii="Times New Roman" w:hAnsi="Times New Roman"/>
          <w:sz w:val="28"/>
          <w:szCs w:val="28"/>
        </w:rPr>
        <w:t xml:space="preserve">- повышение </w:t>
      </w:r>
      <w:proofErr w:type="gramStart"/>
      <w:r w:rsidRPr="006657AF">
        <w:rPr>
          <w:rFonts w:ascii="Times New Roman" w:hAnsi="Times New Roman"/>
          <w:sz w:val="28"/>
          <w:szCs w:val="28"/>
        </w:rPr>
        <w:t>уровня квалификации работников муниципальных библиотек</w:t>
      </w:r>
      <w:proofErr w:type="gramEnd"/>
      <w:r w:rsidR="00196D23">
        <w:rPr>
          <w:rFonts w:ascii="Times New Roman" w:hAnsi="Times New Roman"/>
          <w:sz w:val="28"/>
          <w:szCs w:val="28"/>
        </w:rPr>
        <w:t>;</w:t>
      </w:r>
    </w:p>
    <w:p w:rsidR="006C02D6" w:rsidRPr="00DF2796" w:rsidRDefault="00DF2796" w:rsidP="00C4256B">
      <w:pPr>
        <w:spacing w:before="60" w:after="0"/>
        <w:rPr>
          <w:rFonts w:ascii="Times New Roman" w:hAnsi="Times New Roman"/>
          <w:i/>
          <w:sz w:val="28"/>
          <w:szCs w:val="28"/>
        </w:rPr>
      </w:pPr>
      <w:r w:rsidRPr="00DF2796">
        <w:rPr>
          <w:rFonts w:ascii="Times New Roman" w:hAnsi="Times New Roman"/>
          <w:i/>
          <w:sz w:val="28"/>
          <w:szCs w:val="28"/>
        </w:rPr>
        <w:t>в с</w:t>
      </w:r>
      <w:r w:rsidR="006C02D6" w:rsidRPr="00DF2796">
        <w:rPr>
          <w:rFonts w:ascii="Times New Roman" w:hAnsi="Times New Roman"/>
          <w:i/>
          <w:sz w:val="28"/>
          <w:szCs w:val="28"/>
        </w:rPr>
        <w:t>фере историко-культурного наследия:</w:t>
      </w:r>
    </w:p>
    <w:p w:rsidR="006C02D6" w:rsidRPr="006657AF" w:rsidRDefault="006C02D6" w:rsidP="00C4256B">
      <w:pPr>
        <w:tabs>
          <w:tab w:val="left" w:pos="3086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</w:t>
      </w:r>
      <w:r w:rsidRPr="006657AF">
        <w:rPr>
          <w:rFonts w:ascii="Times New Roman" w:hAnsi="Times New Roman"/>
          <w:sz w:val="28"/>
          <w:szCs w:val="28"/>
        </w:rPr>
        <w:t>роведение специализированных (очистных) и ремонтных работ по сохранению объектов культурного наследия федерального и регионального значения и прилегающей к ним территории</w:t>
      </w:r>
      <w:r w:rsidR="00196D23">
        <w:rPr>
          <w:rFonts w:ascii="Times New Roman" w:hAnsi="Times New Roman"/>
          <w:sz w:val="28"/>
          <w:szCs w:val="28"/>
        </w:rPr>
        <w:t>;</w:t>
      </w:r>
    </w:p>
    <w:p w:rsidR="006C02D6" w:rsidRPr="006765E7" w:rsidRDefault="006765E7" w:rsidP="00C4256B">
      <w:pPr>
        <w:tabs>
          <w:tab w:val="left" w:pos="3086"/>
        </w:tabs>
        <w:spacing w:before="60" w:after="0"/>
        <w:rPr>
          <w:rFonts w:ascii="Times New Roman" w:hAnsi="Times New Roman"/>
          <w:i/>
          <w:sz w:val="28"/>
          <w:szCs w:val="28"/>
        </w:rPr>
      </w:pPr>
      <w:r w:rsidRPr="006765E7">
        <w:rPr>
          <w:rFonts w:ascii="Times New Roman" w:hAnsi="Times New Roman"/>
          <w:i/>
          <w:sz w:val="28"/>
          <w:szCs w:val="28"/>
        </w:rPr>
        <w:t>в</w:t>
      </w:r>
      <w:r w:rsidR="006C02D6" w:rsidRPr="006765E7">
        <w:rPr>
          <w:rFonts w:ascii="Times New Roman" w:hAnsi="Times New Roman"/>
          <w:i/>
          <w:sz w:val="28"/>
          <w:szCs w:val="28"/>
        </w:rPr>
        <w:t xml:space="preserve"> сфере</w:t>
      </w:r>
      <w:r w:rsidR="006C02D6" w:rsidRPr="006765E7">
        <w:rPr>
          <w:rFonts w:ascii="Times New Roman" w:hAnsi="Times New Roman"/>
          <w:i/>
          <w:szCs w:val="28"/>
        </w:rPr>
        <w:t xml:space="preserve"> </w:t>
      </w:r>
      <w:r w:rsidR="006C02D6" w:rsidRPr="006765E7">
        <w:rPr>
          <w:rFonts w:ascii="Times New Roman" w:hAnsi="Times New Roman"/>
          <w:i/>
          <w:sz w:val="28"/>
          <w:szCs w:val="28"/>
        </w:rPr>
        <w:t>укрепления материально-технической базы муниципальных учреждений культуры:</w:t>
      </w:r>
    </w:p>
    <w:p w:rsidR="006C02D6" w:rsidRPr="006657AF" w:rsidRDefault="006C02D6" w:rsidP="00C4256B">
      <w:pPr>
        <w:tabs>
          <w:tab w:val="left" w:pos="3086"/>
        </w:tabs>
        <w:spacing w:after="0"/>
        <w:rPr>
          <w:rFonts w:ascii="Times New Roman" w:hAnsi="Times New Roman"/>
          <w:sz w:val="28"/>
          <w:szCs w:val="28"/>
        </w:rPr>
      </w:pPr>
      <w:r w:rsidRPr="006657A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6657AF">
        <w:rPr>
          <w:rFonts w:ascii="Times New Roman" w:hAnsi="Times New Roman"/>
          <w:sz w:val="28"/>
          <w:szCs w:val="28"/>
        </w:rPr>
        <w:t>родолжение работ по реконструкции здания МАУК «Городской дом культуры «СРВ»;</w:t>
      </w:r>
    </w:p>
    <w:p w:rsidR="006C02D6" w:rsidRDefault="006C02D6" w:rsidP="00C4256B">
      <w:pPr>
        <w:spacing w:after="0"/>
        <w:rPr>
          <w:rFonts w:ascii="Times New Roman" w:hAnsi="Times New Roman"/>
          <w:b/>
          <w:sz w:val="28"/>
          <w:szCs w:val="28"/>
        </w:rPr>
      </w:pPr>
      <w:r w:rsidRPr="006657A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проведение работ по ремонту муниципальных </w:t>
      </w:r>
      <w:r w:rsidRPr="006657AF">
        <w:rPr>
          <w:rFonts w:ascii="Times New Roman" w:hAnsi="Times New Roman"/>
          <w:sz w:val="28"/>
          <w:szCs w:val="28"/>
        </w:rPr>
        <w:t>учреждений культуры (внутренних помещений, сетей, фасадов, залов);</w:t>
      </w:r>
    </w:p>
    <w:p w:rsidR="006C02D6" w:rsidRDefault="006C02D6" w:rsidP="00C4256B">
      <w:pPr>
        <w:spacing w:after="0"/>
        <w:rPr>
          <w:rFonts w:ascii="Times New Roman" w:hAnsi="Times New Roman"/>
          <w:sz w:val="28"/>
          <w:szCs w:val="28"/>
        </w:rPr>
      </w:pPr>
      <w:r w:rsidRPr="006657A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6657AF">
        <w:rPr>
          <w:rFonts w:ascii="Times New Roman" w:hAnsi="Times New Roman"/>
          <w:sz w:val="28"/>
          <w:szCs w:val="28"/>
        </w:rPr>
        <w:t>роведение ремонтно-реставрационных работ на объектах культурного наследия, городского округа и на прилегающей к ним территории</w:t>
      </w:r>
      <w:r>
        <w:rPr>
          <w:rFonts w:ascii="Times New Roman" w:hAnsi="Times New Roman"/>
          <w:sz w:val="28"/>
          <w:szCs w:val="28"/>
        </w:rPr>
        <w:t>;</w:t>
      </w:r>
    </w:p>
    <w:p w:rsidR="006C02D6" w:rsidRDefault="006C02D6" w:rsidP="00C4256B">
      <w:pPr>
        <w:spacing w:after="0"/>
        <w:rPr>
          <w:rFonts w:ascii="Times New Roman" w:hAnsi="Times New Roman"/>
          <w:sz w:val="28"/>
          <w:szCs w:val="28"/>
        </w:rPr>
      </w:pPr>
      <w:r w:rsidRPr="006657A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</w:t>
      </w:r>
      <w:r w:rsidRPr="006657AF">
        <w:rPr>
          <w:rFonts w:ascii="Times New Roman" w:hAnsi="Times New Roman"/>
          <w:sz w:val="28"/>
          <w:szCs w:val="28"/>
        </w:rPr>
        <w:t xml:space="preserve">емонт </w:t>
      </w:r>
      <w:proofErr w:type="gramStart"/>
      <w:r w:rsidRPr="006657AF">
        <w:rPr>
          <w:rFonts w:ascii="Times New Roman" w:hAnsi="Times New Roman"/>
          <w:sz w:val="28"/>
          <w:szCs w:val="28"/>
        </w:rPr>
        <w:t>фасадов зданий учреждений культуры</w:t>
      </w:r>
      <w:proofErr w:type="gramEnd"/>
      <w:r w:rsidRPr="006657A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учреждений </w:t>
      </w:r>
      <w:r w:rsidRPr="006657AF">
        <w:rPr>
          <w:rFonts w:ascii="Times New Roman" w:hAnsi="Times New Roman"/>
          <w:sz w:val="28"/>
          <w:szCs w:val="28"/>
        </w:rPr>
        <w:t>дополнительного образования, структурного подразделения МАУК «Городской дом культуры «СРВ» «Музей Воинской Славы».</w:t>
      </w:r>
    </w:p>
    <w:p w:rsidR="00A63AFB" w:rsidRPr="006657AF" w:rsidRDefault="00A63AFB" w:rsidP="00C4256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C02D6" w:rsidRDefault="000225D4" w:rsidP="00A63AFB">
      <w:pPr>
        <w:pStyle w:val="1"/>
      </w:pPr>
      <w:bookmarkStart w:id="72" w:name="_Toc430947254"/>
      <w:bookmarkStart w:id="73" w:name="_Toc465927699"/>
      <w:r w:rsidRPr="00A63AFB">
        <w:t>15.</w:t>
      </w:r>
      <w:r w:rsidR="006C02D6" w:rsidRPr="00A63AFB">
        <w:t xml:space="preserve"> Физическая культура и спорт</w:t>
      </w:r>
      <w:bookmarkEnd w:id="68"/>
      <w:bookmarkEnd w:id="69"/>
      <w:bookmarkEnd w:id="70"/>
      <w:bookmarkEnd w:id="71"/>
      <w:bookmarkEnd w:id="72"/>
      <w:bookmarkEnd w:id="73"/>
    </w:p>
    <w:p w:rsidR="00A63AFB" w:rsidRPr="00A63AFB" w:rsidRDefault="00A63AFB" w:rsidP="00A63AFB"/>
    <w:p w:rsidR="006C02D6" w:rsidRPr="006657AF" w:rsidRDefault="006C02D6" w:rsidP="006739BC">
      <w:pPr>
        <w:autoSpaceDE w:val="0"/>
        <w:autoSpaceDN w:val="0"/>
        <w:adjustRightInd w:val="0"/>
        <w:spacing w:after="60"/>
        <w:rPr>
          <w:rFonts w:ascii="Times New Roman" w:hAnsi="Times New Roman"/>
          <w:sz w:val="28"/>
          <w:szCs w:val="28"/>
        </w:rPr>
      </w:pPr>
      <w:bookmarkStart w:id="74" w:name="_Toc368930216"/>
      <w:bookmarkStart w:id="75" w:name="_Toc368930840"/>
      <w:bookmarkStart w:id="76" w:name="_Toc368988899"/>
      <w:r w:rsidRPr="006657AF">
        <w:rPr>
          <w:rFonts w:ascii="Times New Roman" w:hAnsi="Times New Roman"/>
          <w:sz w:val="28"/>
          <w:szCs w:val="28"/>
        </w:rPr>
        <w:t xml:space="preserve">Обеспечение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являются вопросами местного значения, отнесенными к компетенции органов местного самоуправления городских округов. </w:t>
      </w:r>
    </w:p>
    <w:p w:rsidR="006C02D6" w:rsidRDefault="006C02D6" w:rsidP="006739BC">
      <w:pPr>
        <w:spacing w:after="60"/>
        <w:rPr>
          <w:rFonts w:ascii="Times New Roman" w:hAnsi="Times New Roman"/>
          <w:i/>
          <w:sz w:val="28"/>
          <w:szCs w:val="28"/>
        </w:rPr>
      </w:pPr>
      <w:proofErr w:type="gramStart"/>
      <w:r w:rsidRPr="00036E75">
        <w:rPr>
          <w:rFonts w:ascii="Times New Roman" w:hAnsi="Times New Roman"/>
          <w:sz w:val="28"/>
          <w:szCs w:val="28"/>
        </w:rPr>
        <w:t>В целях создания условий для развития массового спорта и физкультурно-оздоровительного движения реализовалась мероприятия подпрограммы «Развитие физической культуры и спорта в Петропавловск-Камчатском городском округе» муниципальной программы «Создание условий для развития культуры, спорта и молодежной политики в Петропавловск-Камчатском городском округе».</w:t>
      </w:r>
      <w:proofErr w:type="gramEnd"/>
      <w:r w:rsidRPr="00036E75">
        <w:rPr>
          <w:rFonts w:ascii="Times New Roman" w:hAnsi="Times New Roman"/>
          <w:sz w:val="28"/>
          <w:szCs w:val="28"/>
        </w:rPr>
        <w:t xml:space="preserve"> Основные направления работы и задачи в сфере физической культуры и спорта в рамках программы:</w:t>
      </w:r>
    </w:p>
    <w:p w:rsidR="006C02D6" w:rsidRPr="00036E75" w:rsidRDefault="006C02D6" w:rsidP="006739BC">
      <w:pPr>
        <w:spacing w:after="60"/>
        <w:rPr>
          <w:rFonts w:ascii="Times New Roman" w:hAnsi="Times New Roman"/>
          <w:i/>
          <w:sz w:val="28"/>
          <w:szCs w:val="28"/>
        </w:rPr>
      </w:pPr>
      <w:r w:rsidRPr="00036E75">
        <w:rPr>
          <w:rFonts w:ascii="Times New Roman" w:hAnsi="Times New Roman"/>
          <w:sz w:val="28"/>
          <w:szCs w:val="28"/>
        </w:rPr>
        <w:t>-</w:t>
      </w:r>
      <w:r w:rsidRPr="00036E75">
        <w:rPr>
          <w:rFonts w:ascii="Times New Roman" w:hAnsi="Times New Roman"/>
          <w:i/>
          <w:sz w:val="28"/>
          <w:szCs w:val="28"/>
        </w:rPr>
        <w:t xml:space="preserve"> </w:t>
      </w:r>
      <w:r w:rsidRPr="00036E75">
        <w:rPr>
          <w:rFonts w:ascii="Times New Roman" w:hAnsi="Times New Roman"/>
          <w:sz w:val="28"/>
          <w:szCs w:val="28"/>
        </w:rPr>
        <w:t>популяризация здорового образа жизни и привлечение жителей к занятиям физической культурой и спортом;</w:t>
      </w:r>
    </w:p>
    <w:p w:rsidR="006C02D6" w:rsidRPr="00B661E1" w:rsidRDefault="006C02D6" w:rsidP="006739BC">
      <w:pPr>
        <w:tabs>
          <w:tab w:val="left" w:pos="515"/>
          <w:tab w:val="left" w:pos="993"/>
          <w:tab w:val="left" w:pos="1080"/>
        </w:tabs>
        <w:spacing w:after="60"/>
        <w:rPr>
          <w:rFonts w:ascii="Times New Roman" w:hAnsi="Times New Roman"/>
          <w:sz w:val="28"/>
          <w:szCs w:val="28"/>
        </w:rPr>
      </w:pPr>
      <w:r w:rsidRPr="00036E75">
        <w:rPr>
          <w:rFonts w:ascii="Times New Roman" w:hAnsi="Times New Roman"/>
          <w:sz w:val="28"/>
          <w:szCs w:val="28"/>
        </w:rPr>
        <w:t xml:space="preserve">- обеспечение организации и проведения спортивных мероприятий на </w:t>
      </w:r>
      <w:r w:rsidRPr="00B661E1">
        <w:rPr>
          <w:rFonts w:ascii="Times New Roman" w:hAnsi="Times New Roman"/>
          <w:sz w:val="28"/>
          <w:szCs w:val="28"/>
        </w:rPr>
        <w:t xml:space="preserve">территории городского округа. </w:t>
      </w:r>
    </w:p>
    <w:p w:rsidR="006C02D6" w:rsidRPr="00B661E1" w:rsidRDefault="006C02D6" w:rsidP="006739BC">
      <w:pPr>
        <w:spacing w:after="60"/>
        <w:rPr>
          <w:rFonts w:ascii="Times New Roman" w:hAnsi="Times New Roman"/>
          <w:sz w:val="28"/>
          <w:szCs w:val="28"/>
        </w:rPr>
      </w:pPr>
      <w:r w:rsidRPr="00B661E1">
        <w:rPr>
          <w:rFonts w:ascii="Times New Roman" w:hAnsi="Times New Roman"/>
          <w:sz w:val="28"/>
          <w:szCs w:val="28"/>
        </w:rPr>
        <w:t>Сфера физической культуры и спорта в городском округе имеет положительную динамику основных показателей. В 2015 году увеличился удельный вес населения, систематически занимающегося физической культурой и спортом, составив 25,6 % населения всего городского округа (в 2014 году – 24,30</w:t>
      </w:r>
      <w:r>
        <w:rPr>
          <w:rFonts w:ascii="Times New Roman" w:hAnsi="Times New Roman"/>
          <w:sz w:val="28"/>
          <w:szCs w:val="28"/>
        </w:rPr>
        <w:t xml:space="preserve"> %</w:t>
      </w:r>
      <w:r w:rsidRPr="00B661E1">
        <w:rPr>
          <w:rFonts w:ascii="Times New Roman" w:hAnsi="Times New Roman"/>
          <w:sz w:val="28"/>
          <w:szCs w:val="28"/>
        </w:rPr>
        <w:t>). Достигнутый показатель сложился в результате расширения услуг в сфере физической культуры и спорта, строительства спортивных объектов, активизации массовой спортивно-оздоровительной работы.</w:t>
      </w:r>
    </w:p>
    <w:p w:rsidR="006C02D6" w:rsidRPr="006E70D3" w:rsidRDefault="006C02D6" w:rsidP="006739BC">
      <w:pPr>
        <w:tabs>
          <w:tab w:val="left" w:pos="515"/>
          <w:tab w:val="left" w:pos="993"/>
          <w:tab w:val="left" w:pos="1080"/>
        </w:tabs>
        <w:spacing w:after="60"/>
        <w:rPr>
          <w:rFonts w:ascii="Times New Roman" w:hAnsi="Times New Roman"/>
          <w:sz w:val="28"/>
        </w:rPr>
      </w:pPr>
      <w:r w:rsidRPr="006E70D3">
        <w:rPr>
          <w:rFonts w:ascii="Times New Roman" w:hAnsi="Times New Roman"/>
          <w:sz w:val="28"/>
          <w:szCs w:val="28"/>
        </w:rPr>
        <w:t xml:space="preserve">В 2015 году </w:t>
      </w:r>
      <w:r>
        <w:rPr>
          <w:rFonts w:ascii="Times New Roman" w:hAnsi="Times New Roman"/>
          <w:sz w:val="28"/>
          <w:szCs w:val="28"/>
        </w:rPr>
        <w:t xml:space="preserve">обеспечено </w:t>
      </w:r>
      <w:r w:rsidRPr="006E70D3">
        <w:rPr>
          <w:rFonts w:ascii="Times New Roman" w:hAnsi="Times New Roman"/>
          <w:sz w:val="28"/>
          <w:szCs w:val="28"/>
        </w:rPr>
        <w:t>проведе</w:t>
      </w:r>
      <w:r>
        <w:rPr>
          <w:rFonts w:ascii="Times New Roman" w:hAnsi="Times New Roman"/>
          <w:sz w:val="28"/>
          <w:szCs w:val="28"/>
        </w:rPr>
        <w:t>ние</w:t>
      </w:r>
      <w:r w:rsidRPr="006E70D3">
        <w:rPr>
          <w:rFonts w:ascii="Times New Roman" w:hAnsi="Times New Roman"/>
          <w:sz w:val="28"/>
          <w:szCs w:val="28"/>
        </w:rPr>
        <w:t xml:space="preserve"> 170 спортивных мероприятий, в том числе </w:t>
      </w:r>
      <w:proofErr w:type="gramStart"/>
      <w:r w:rsidRPr="006E70D3">
        <w:rPr>
          <w:rFonts w:ascii="Times New Roman" w:hAnsi="Times New Roman"/>
          <w:sz w:val="28"/>
          <w:szCs w:val="28"/>
        </w:rPr>
        <w:t>массовые физкультурно-спортивные</w:t>
      </w:r>
      <w:proofErr w:type="gramEnd"/>
      <w:r w:rsidRPr="006E70D3">
        <w:rPr>
          <w:rFonts w:ascii="Times New Roman" w:hAnsi="Times New Roman"/>
          <w:sz w:val="28"/>
          <w:szCs w:val="28"/>
        </w:rPr>
        <w:t xml:space="preserve"> мероприятия и соревнования по видам спорта совместно с федерациями. Основная часть мероприятий является традиционными и проводится ежегодно. Впервые в городском округе состоялись Чемпионат и Кубок </w:t>
      </w:r>
      <w:proofErr w:type="gramStart"/>
      <w:r w:rsidRPr="006E70D3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6E70D3">
        <w:rPr>
          <w:rFonts w:ascii="Times New Roman" w:hAnsi="Times New Roman"/>
          <w:sz w:val="28"/>
          <w:szCs w:val="28"/>
        </w:rPr>
        <w:t xml:space="preserve"> городского округа по серфингу и </w:t>
      </w:r>
      <w:r w:rsidRPr="006E70D3">
        <w:rPr>
          <w:rFonts w:ascii="Times New Roman" w:hAnsi="Times New Roman"/>
          <w:sz w:val="28"/>
        </w:rPr>
        <w:t xml:space="preserve">Чемпионат Петропавловск-Камчатского городского округа по </w:t>
      </w:r>
      <w:r w:rsidRPr="006E70D3">
        <w:rPr>
          <w:rFonts w:ascii="Times New Roman" w:hAnsi="Times New Roman"/>
          <w:sz w:val="28"/>
        </w:rPr>
        <w:lastRenderedPageBreak/>
        <w:t xml:space="preserve">пейнтболу. </w:t>
      </w:r>
      <w:r w:rsidRPr="006E70D3">
        <w:rPr>
          <w:rFonts w:ascii="Times New Roman" w:hAnsi="Times New Roman"/>
          <w:sz w:val="28"/>
          <w:szCs w:val="28"/>
        </w:rPr>
        <w:t xml:space="preserve">Для населения организованы и проведены первенства и чемпионаты, турниры и кубки </w:t>
      </w:r>
      <w:proofErr w:type="gramStart"/>
      <w:r w:rsidRPr="006E70D3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6E70D3">
        <w:rPr>
          <w:rFonts w:ascii="Times New Roman" w:hAnsi="Times New Roman"/>
          <w:sz w:val="28"/>
          <w:szCs w:val="28"/>
        </w:rPr>
        <w:t xml:space="preserve"> городского округа, спортивные праздники, посвященные знаменательным датам. Особое внимание в 2015 году уделено привлечению к занятиям физической культурой представителей трудовых коллективов. В мае 2015 года успешно завершена «Спартакиада трудящихся 2014-2015».</w:t>
      </w:r>
    </w:p>
    <w:p w:rsidR="006C02D6" w:rsidRPr="00F563C7" w:rsidRDefault="006C02D6" w:rsidP="006739BC">
      <w:pPr>
        <w:spacing w:after="60"/>
        <w:rPr>
          <w:rFonts w:ascii="Times New Roman" w:hAnsi="Times New Roman"/>
          <w:sz w:val="28"/>
          <w:szCs w:val="28"/>
          <w:highlight w:val="green"/>
        </w:rPr>
      </w:pPr>
      <w:proofErr w:type="gramStart"/>
      <w:r w:rsidRPr="006E70D3">
        <w:rPr>
          <w:rFonts w:ascii="Times New Roman" w:hAnsi="Times New Roman"/>
          <w:sz w:val="28"/>
          <w:szCs w:val="28"/>
        </w:rPr>
        <w:t>В рамках развития детско-юношеского спорта и совершенствования условий подготовки спортивного резерва Управлением образования администрации Петропавловск-Камчатского городского округа обеспечивается исполнение программных мероприятий по восстановлению и строительству спортивных площадок общеобразовательных учреждений городского округа.</w:t>
      </w:r>
      <w:proofErr w:type="gramEnd"/>
      <w:r w:rsidRPr="006E70D3">
        <w:rPr>
          <w:rFonts w:ascii="Times New Roman" w:hAnsi="Times New Roman"/>
          <w:sz w:val="28"/>
          <w:szCs w:val="28"/>
        </w:rPr>
        <w:t xml:space="preserve"> Проводились мероприятия по расчистке и заливке катков, расположенных на территории</w:t>
      </w:r>
      <w:r w:rsidRPr="00B00B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образовательных </w:t>
      </w:r>
      <w:r w:rsidRPr="00B00B94">
        <w:rPr>
          <w:rFonts w:ascii="Times New Roman" w:hAnsi="Times New Roman"/>
          <w:sz w:val="28"/>
          <w:szCs w:val="28"/>
        </w:rPr>
        <w:t>учреждений. 2 учреждения приобрели уборочную технику и инвентарь для содержания катков в рабочем состоянии</w:t>
      </w:r>
      <w:r>
        <w:rPr>
          <w:rFonts w:ascii="Times New Roman" w:hAnsi="Times New Roman"/>
          <w:sz w:val="28"/>
          <w:szCs w:val="28"/>
        </w:rPr>
        <w:t>.</w:t>
      </w:r>
    </w:p>
    <w:p w:rsidR="006C02D6" w:rsidRPr="006E70D3" w:rsidRDefault="006C02D6" w:rsidP="00736297">
      <w:pPr>
        <w:spacing w:after="0"/>
        <w:rPr>
          <w:rFonts w:ascii="Times New Roman" w:hAnsi="Times New Roman"/>
          <w:sz w:val="28"/>
          <w:szCs w:val="28"/>
        </w:rPr>
      </w:pPr>
      <w:r w:rsidRPr="006E70D3">
        <w:rPr>
          <w:rFonts w:ascii="Times New Roman" w:hAnsi="Times New Roman"/>
          <w:sz w:val="28"/>
          <w:szCs w:val="28"/>
        </w:rPr>
        <w:t>В течение 2015 года проводились мероприятия по улучшен</w:t>
      </w:r>
      <w:r w:rsidR="000A6CDA">
        <w:rPr>
          <w:rFonts w:ascii="Times New Roman" w:hAnsi="Times New Roman"/>
          <w:sz w:val="28"/>
          <w:szCs w:val="28"/>
        </w:rPr>
        <w:t>ию материально-технической базы: п</w:t>
      </w:r>
      <w:r w:rsidRPr="006E70D3">
        <w:rPr>
          <w:rFonts w:ascii="Times New Roman" w:hAnsi="Times New Roman"/>
          <w:sz w:val="28"/>
          <w:szCs w:val="28"/>
        </w:rPr>
        <w:t xml:space="preserve">роизведен ремонт спортивных залов в 5 </w:t>
      </w:r>
      <w:r w:rsidR="000A6CDA">
        <w:rPr>
          <w:rFonts w:ascii="Times New Roman" w:hAnsi="Times New Roman"/>
          <w:sz w:val="28"/>
          <w:szCs w:val="28"/>
        </w:rPr>
        <w:t>образовательных учреждениях, в</w:t>
      </w:r>
      <w:r w:rsidRPr="008A6A4F">
        <w:rPr>
          <w:rFonts w:ascii="Times New Roman" w:hAnsi="Times New Roman"/>
          <w:sz w:val="28"/>
          <w:szCs w:val="28"/>
        </w:rPr>
        <w:t>осстановлены спортивные площадки на территории 2</w:t>
      </w:r>
      <w:r w:rsidRPr="006E70D3">
        <w:rPr>
          <w:rFonts w:ascii="Times New Roman" w:hAnsi="Times New Roman"/>
          <w:sz w:val="28"/>
          <w:szCs w:val="28"/>
        </w:rPr>
        <w:t xml:space="preserve"> муниципальных дошкольных образовательных учреждений.</w:t>
      </w:r>
    </w:p>
    <w:p w:rsidR="006E0B53" w:rsidRDefault="006C02D6" w:rsidP="00736297">
      <w:pPr>
        <w:spacing w:after="0"/>
        <w:rPr>
          <w:rFonts w:ascii="Times New Roman" w:hAnsi="Times New Roman"/>
          <w:sz w:val="28"/>
          <w:szCs w:val="28"/>
        </w:rPr>
      </w:pPr>
      <w:r w:rsidRPr="00B661E1">
        <w:rPr>
          <w:rFonts w:ascii="Times New Roman" w:hAnsi="Times New Roman"/>
          <w:sz w:val="28"/>
          <w:szCs w:val="28"/>
        </w:rPr>
        <w:t xml:space="preserve">В 2016 году физкультурные мероприятия и спортивные соревнования проводятся в соответствии с утвержденным календарным планом </w:t>
      </w:r>
      <w:proofErr w:type="gramStart"/>
      <w:r w:rsidRPr="00B661E1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B661E1">
        <w:rPr>
          <w:rFonts w:ascii="Times New Roman" w:hAnsi="Times New Roman"/>
          <w:sz w:val="28"/>
          <w:szCs w:val="28"/>
        </w:rPr>
        <w:t xml:space="preserve"> городского округа на 2016 год </w:t>
      </w:r>
      <w:r w:rsidR="006E0B53">
        <w:rPr>
          <w:rFonts w:ascii="Times New Roman" w:hAnsi="Times New Roman"/>
          <w:sz w:val="28"/>
          <w:szCs w:val="28"/>
        </w:rPr>
        <w:t>совместно со</w:t>
      </w:r>
      <w:r w:rsidRPr="00B661E1">
        <w:rPr>
          <w:rFonts w:ascii="Times New Roman" w:hAnsi="Times New Roman"/>
          <w:sz w:val="28"/>
          <w:szCs w:val="28"/>
        </w:rPr>
        <w:t xml:space="preserve"> спортивны</w:t>
      </w:r>
      <w:r w:rsidR="006E0B53">
        <w:rPr>
          <w:rFonts w:ascii="Times New Roman" w:hAnsi="Times New Roman"/>
          <w:sz w:val="28"/>
          <w:szCs w:val="28"/>
        </w:rPr>
        <w:t>ми</w:t>
      </w:r>
      <w:r w:rsidRPr="00B661E1">
        <w:rPr>
          <w:rFonts w:ascii="Times New Roman" w:hAnsi="Times New Roman"/>
          <w:sz w:val="28"/>
          <w:szCs w:val="28"/>
        </w:rPr>
        <w:t xml:space="preserve"> федераци</w:t>
      </w:r>
      <w:r w:rsidR="006E0B53">
        <w:rPr>
          <w:rFonts w:ascii="Times New Roman" w:hAnsi="Times New Roman"/>
          <w:sz w:val="28"/>
          <w:szCs w:val="28"/>
        </w:rPr>
        <w:t>ями</w:t>
      </w:r>
    </w:p>
    <w:p w:rsidR="006E0B53" w:rsidRDefault="006C02D6" w:rsidP="00736297">
      <w:pPr>
        <w:spacing w:after="0"/>
        <w:rPr>
          <w:rFonts w:ascii="Times New Roman" w:hAnsi="Times New Roman"/>
          <w:sz w:val="28"/>
          <w:szCs w:val="28"/>
        </w:rPr>
      </w:pPr>
      <w:r w:rsidRPr="006E70D3">
        <w:rPr>
          <w:rFonts w:ascii="Times New Roman" w:hAnsi="Times New Roman"/>
          <w:sz w:val="28"/>
          <w:szCs w:val="28"/>
        </w:rPr>
        <w:t xml:space="preserve">В </w:t>
      </w:r>
      <w:r w:rsidR="004A2261">
        <w:rPr>
          <w:rFonts w:ascii="Times New Roman" w:hAnsi="Times New Roman"/>
          <w:sz w:val="28"/>
          <w:szCs w:val="28"/>
        </w:rPr>
        <w:t>2017-2019 годах</w:t>
      </w:r>
      <w:r w:rsidRPr="006E70D3">
        <w:rPr>
          <w:rFonts w:ascii="Times New Roman" w:hAnsi="Times New Roman"/>
          <w:sz w:val="28"/>
          <w:szCs w:val="28"/>
        </w:rPr>
        <w:t xml:space="preserve"> продолжится реализация проектов по развитию инфраструктуры спорта. </w:t>
      </w:r>
      <w:r w:rsidR="006E0B53" w:rsidRPr="006E70D3">
        <w:rPr>
          <w:rFonts w:ascii="Times New Roman" w:hAnsi="Times New Roman"/>
          <w:sz w:val="28"/>
          <w:szCs w:val="28"/>
        </w:rPr>
        <w:t>Дальнейшее развитие получит материально-техническая база учреждений спорта</w:t>
      </w:r>
      <w:r w:rsidR="006E0B53">
        <w:rPr>
          <w:rFonts w:ascii="Times New Roman" w:hAnsi="Times New Roman"/>
          <w:sz w:val="28"/>
          <w:szCs w:val="28"/>
        </w:rPr>
        <w:t>.</w:t>
      </w:r>
    </w:p>
    <w:p w:rsidR="00736297" w:rsidRDefault="006C02D6" w:rsidP="0073629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E553FD">
        <w:rPr>
          <w:rFonts w:ascii="Times New Roman" w:hAnsi="Times New Roman"/>
          <w:sz w:val="28"/>
          <w:szCs w:val="28"/>
        </w:rPr>
        <w:t>Будет оказываться содействие спортивным клубам, образовательным учреждениям в проведении физкультурно-спорти</w:t>
      </w:r>
      <w:r w:rsidR="00736297">
        <w:rPr>
          <w:rFonts w:ascii="Times New Roman" w:hAnsi="Times New Roman"/>
          <w:sz w:val="28"/>
          <w:szCs w:val="28"/>
        </w:rPr>
        <w:t>вных мероприятий</w:t>
      </w:r>
      <w:r w:rsidR="00736297" w:rsidRPr="00736297">
        <w:rPr>
          <w:rFonts w:ascii="Times New Roman" w:hAnsi="Times New Roman"/>
          <w:sz w:val="28"/>
          <w:szCs w:val="28"/>
        </w:rPr>
        <w:t xml:space="preserve"> </w:t>
      </w:r>
      <w:r w:rsidR="00736297" w:rsidRPr="005D32F7">
        <w:rPr>
          <w:rFonts w:ascii="Times New Roman" w:hAnsi="Times New Roman"/>
          <w:sz w:val="28"/>
          <w:szCs w:val="28"/>
        </w:rPr>
        <w:t>и этапов всероссийских и краевых соревнований, в том числе «Мини-футбол в школу», «Золотая шайба», «Кожаный мяч», «Лыжня России», «Спартакиада трудящихся».</w:t>
      </w:r>
    </w:p>
    <w:p w:rsidR="006C02D6" w:rsidRPr="00E553FD" w:rsidRDefault="00736297" w:rsidP="00736297">
      <w:pPr>
        <w:spacing w:after="0"/>
        <w:rPr>
          <w:rFonts w:ascii="Times New Roman" w:hAnsi="Times New Roman"/>
          <w:sz w:val="28"/>
          <w:szCs w:val="28"/>
        </w:rPr>
      </w:pPr>
      <w:r w:rsidRPr="00E553FD">
        <w:rPr>
          <w:rFonts w:ascii="Times New Roman" w:hAnsi="Times New Roman"/>
          <w:sz w:val="28"/>
          <w:szCs w:val="28"/>
        </w:rPr>
        <w:t>Будет оказываться содействие</w:t>
      </w:r>
      <w:r w:rsidR="006C02D6" w:rsidRPr="00E553FD">
        <w:rPr>
          <w:rFonts w:ascii="Times New Roman" w:hAnsi="Times New Roman"/>
          <w:sz w:val="28"/>
          <w:szCs w:val="28"/>
        </w:rPr>
        <w:t xml:space="preserve"> спортивным клубам и федерациям в подготовке членов сборных команд городского округа для участия в спортивных соревнованиях различного уровня.</w:t>
      </w:r>
    </w:p>
    <w:p w:rsidR="006E0B53" w:rsidRDefault="006C02D6" w:rsidP="00736297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D32F7">
        <w:rPr>
          <w:rFonts w:ascii="Times New Roman" w:hAnsi="Times New Roman"/>
          <w:sz w:val="28"/>
          <w:szCs w:val="28"/>
        </w:rPr>
        <w:t>Планируется также продолжить работу по повышению квалификации работников</w:t>
      </w:r>
      <w:r w:rsidR="00736297">
        <w:rPr>
          <w:rFonts w:ascii="Times New Roman" w:hAnsi="Times New Roman"/>
          <w:sz w:val="28"/>
          <w:szCs w:val="28"/>
        </w:rPr>
        <w:t>.</w:t>
      </w:r>
      <w:r w:rsidRPr="005D32F7">
        <w:rPr>
          <w:rFonts w:ascii="Times New Roman" w:hAnsi="Times New Roman"/>
          <w:sz w:val="28"/>
          <w:szCs w:val="28"/>
        </w:rPr>
        <w:t xml:space="preserve"> </w:t>
      </w:r>
    </w:p>
    <w:p w:rsidR="00994F17" w:rsidRPr="00994F17" w:rsidRDefault="00736297" w:rsidP="00994F17">
      <w:pPr>
        <w:spacing w:after="0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94F17">
        <w:rPr>
          <w:rFonts w:ascii="Times New Roman" w:hAnsi="Times New Roman" w:cs="Times New Roman"/>
          <w:sz w:val="28"/>
          <w:szCs w:val="28"/>
        </w:rPr>
        <w:t xml:space="preserve">В прогнозируемом периоде в сфере физической культуры и спорта будет действовать муниципальная программа «Создание условий для развития культуры, спорта и молодежной политики в </w:t>
      </w:r>
      <w:proofErr w:type="gramStart"/>
      <w:r w:rsidRPr="00994F17">
        <w:rPr>
          <w:rFonts w:ascii="Times New Roman" w:hAnsi="Times New Roman" w:cs="Times New Roman"/>
          <w:sz w:val="28"/>
          <w:szCs w:val="28"/>
        </w:rPr>
        <w:t>Петропавловск-Камчатском</w:t>
      </w:r>
      <w:proofErr w:type="gramEnd"/>
      <w:r w:rsidRPr="00994F17">
        <w:rPr>
          <w:rFonts w:ascii="Times New Roman" w:hAnsi="Times New Roman" w:cs="Times New Roman"/>
          <w:sz w:val="28"/>
          <w:szCs w:val="28"/>
        </w:rPr>
        <w:t xml:space="preserve"> городском округе», утвержденная постановлени</w:t>
      </w:r>
      <w:r w:rsidR="00994F17">
        <w:rPr>
          <w:rFonts w:ascii="Times New Roman" w:hAnsi="Times New Roman" w:cs="Times New Roman"/>
          <w:sz w:val="28"/>
          <w:szCs w:val="28"/>
        </w:rPr>
        <w:t>я</w:t>
      </w:r>
      <w:r w:rsidRPr="00994F17">
        <w:rPr>
          <w:rFonts w:ascii="Times New Roman" w:hAnsi="Times New Roman" w:cs="Times New Roman"/>
          <w:sz w:val="28"/>
          <w:szCs w:val="28"/>
        </w:rPr>
        <w:t>м</w:t>
      </w:r>
      <w:r w:rsidR="00994F17">
        <w:rPr>
          <w:rFonts w:ascii="Times New Roman" w:hAnsi="Times New Roman" w:cs="Times New Roman"/>
          <w:sz w:val="28"/>
          <w:szCs w:val="28"/>
        </w:rPr>
        <w:t>и</w:t>
      </w:r>
      <w:r w:rsidRPr="00994F17">
        <w:rPr>
          <w:rFonts w:ascii="Times New Roman" w:hAnsi="Times New Roman" w:cs="Times New Roman"/>
          <w:sz w:val="28"/>
          <w:szCs w:val="28"/>
        </w:rPr>
        <w:t xml:space="preserve"> администрации Петропавловск-Камчатском городского округа</w:t>
      </w:r>
      <w:r w:rsidR="00994F17" w:rsidRPr="00994F17">
        <w:rPr>
          <w:rFonts w:ascii="Times New Roman" w:hAnsi="Times New Roman" w:cs="Times New Roman"/>
          <w:sz w:val="28"/>
          <w:szCs w:val="28"/>
        </w:rPr>
        <w:t xml:space="preserve"> от 01.11.2013 N 3187 и </w:t>
      </w:r>
      <w:r w:rsidRPr="00994F17">
        <w:rPr>
          <w:rFonts w:ascii="Times New Roman" w:hAnsi="Times New Roman" w:cs="Times New Roman"/>
          <w:sz w:val="28"/>
          <w:szCs w:val="28"/>
        </w:rPr>
        <w:t>от</w:t>
      </w:r>
      <w:r w:rsidR="00994F17" w:rsidRPr="00994F1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994F17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                  </w:t>
      </w:r>
      <w:r w:rsidR="00994F17" w:rsidRPr="00994F17">
        <w:rPr>
          <w:rFonts w:ascii="Times New Roman" w:hAnsi="Times New Roman" w:cs="Times New Roman"/>
          <w:bCs/>
          <w:color w:val="26282F"/>
          <w:sz w:val="28"/>
          <w:szCs w:val="28"/>
        </w:rPr>
        <w:t>12 октября 2016 г. N 1981</w:t>
      </w:r>
      <w:r w:rsidR="00994F17">
        <w:rPr>
          <w:rFonts w:ascii="Times New Roman" w:hAnsi="Times New Roman" w:cs="Times New Roman"/>
          <w:bCs/>
          <w:color w:val="26282F"/>
          <w:sz w:val="28"/>
          <w:szCs w:val="28"/>
        </w:rPr>
        <w:t>.</w:t>
      </w:r>
    </w:p>
    <w:p w:rsidR="00736297" w:rsidRPr="003E409A" w:rsidRDefault="00736297" w:rsidP="00994F17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994F17">
        <w:rPr>
          <w:rFonts w:ascii="Times New Roman" w:hAnsi="Times New Roman" w:cs="Times New Roman"/>
          <w:sz w:val="28"/>
          <w:szCs w:val="28"/>
        </w:rPr>
        <w:t>В результате исполнения мероприятия муниципальной</w:t>
      </w:r>
      <w:r w:rsidRPr="00994F17">
        <w:rPr>
          <w:rFonts w:ascii="Times New Roman" w:hAnsi="Times New Roman"/>
          <w:sz w:val="28"/>
          <w:szCs w:val="28"/>
        </w:rPr>
        <w:t xml:space="preserve"> программы</w:t>
      </w:r>
      <w:r w:rsidRPr="003E409A">
        <w:rPr>
          <w:rFonts w:ascii="Times New Roman" w:hAnsi="Times New Roman"/>
          <w:sz w:val="28"/>
          <w:szCs w:val="28"/>
        </w:rPr>
        <w:t xml:space="preserve"> прогнозируется повышение информированности жителей городского округа о </w:t>
      </w:r>
      <w:r>
        <w:rPr>
          <w:rFonts w:ascii="Times New Roman" w:hAnsi="Times New Roman"/>
          <w:sz w:val="28"/>
          <w:szCs w:val="28"/>
        </w:rPr>
        <w:t>проведении</w:t>
      </w:r>
      <w:r w:rsidRPr="003E409A">
        <w:rPr>
          <w:rFonts w:ascii="Times New Roman" w:hAnsi="Times New Roman"/>
          <w:sz w:val="28"/>
          <w:szCs w:val="28"/>
        </w:rPr>
        <w:t xml:space="preserve"> спортивных мероприяти</w:t>
      </w:r>
      <w:r>
        <w:rPr>
          <w:rFonts w:ascii="Times New Roman" w:hAnsi="Times New Roman"/>
          <w:sz w:val="28"/>
          <w:szCs w:val="28"/>
        </w:rPr>
        <w:t>й</w:t>
      </w:r>
      <w:r w:rsidRPr="003E409A">
        <w:rPr>
          <w:rFonts w:ascii="Times New Roman" w:hAnsi="Times New Roman"/>
          <w:sz w:val="28"/>
          <w:szCs w:val="28"/>
        </w:rPr>
        <w:t>, повышение у населения городского округа стимула к ведению здорового образа жизни, увеличение количества жителей городского округа, вовлеченных в занятия физической культурой и спортом, реализация общественных инициатив в области спорта и поддержка спортивных федераций.</w:t>
      </w:r>
      <w:proofErr w:type="gramEnd"/>
    </w:p>
    <w:p w:rsidR="006C02D6" w:rsidRDefault="006C02D6" w:rsidP="00A63AFB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FA0058">
        <w:rPr>
          <w:rFonts w:ascii="Times New Roman" w:hAnsi="Times New Roman"/>
          <w:sz w:val="28"/>
          <w:szCs w:val="28"/>
        </w:rPr>
        <w:lastRenderedPageBreak/>
        <w:t xml:space="preserve">Развитию физической культуры и спорта в городском округе будет способствовать реализация </w:t>
      </w:r>
      <w:r w:rsidR="006E0B53">
        <w:rPr>
          <w:rFonts w:ascii="Times New Roman" w:hAnsi="Times New Roman"/>
          <w:sz w:val="28"/>
          <w:szCs w:val="28"/>
        </w:rPr>
        <w:t>мероприятий,</w:t>
      </w:r>
      <w:r w:rsidR="006E0B53" w:rsidRPr="00FA0058">
        <w:rPr>
          <w:rFonts w:ascii="Times New Roman" w:hAnsi="Times New Roman"/>
          <w:sz w:val="28"/>
          <w:szCs w:val="28"/>
        </w:rPr>
        <w:t xml:space="preserve"> </w:t>
      </w:r>
      <w:r w:rsidR="006E0B53">
        <w:rPr>
          <w:rFonts w:ascii="Times New Roman" w:hAnsi="Times New Roman"/>
          <w:sz w:val="28"/>
          <w:szCs w:val="28"/>
        </w:rPr>
        <w:t>за</w:t>
      </w:r>
      <w:r w:rsidRPr="00FA0058">
        <w:rPr>
          <w:rFonts w:ascii="Times New Roman" w:hAnsi="Times New Roman"/>
          <w:sz w:val="28"/>
          <w:szCs w:val="28"/>
        </w:rPr>
        <w:t>план</w:t>
      </w:r>
      <w:r w:rsidR="006E0B53">
        <w:rPr>
          <w:rFonts w:ascii="Times New Roman" w:hAnsi="Times New Roman"/>
          <w:sz w:val="28"/>
          <w:szCs w:val="28"/>
        </w:rPr>
        <w:t>ир</w:t>
      </w:r>
      <w:r w:rsidRPr="00FA0058">
        <w:rPr>
          <w:rFonts w:ascii="Times New Roman" w:hAnsi="Times New Roman"/>
          <w:sz w:val="28"/>
          <w:szCs w:val="28"/>
        </w:rPr>
        <w:t>ов</w:t>
      </w:r>
      <w:r w:rsidR="006E0B53">
        <w:rPr>
          <w:rFonts w:ascii="Times New Roman" w:hAnsi="Times New Roman"/>
          <w:sz w:val="28"/>
          <w:szCs w:val="28"/>
        </w:rPr>
        <w:t>анных</w:t>
      </w:r>
      <w:r w:rsidRPr="00FA0058">
        <w:rPr>
          <w:rFonts w:ascii="Times New Roman" w:hAnsi="Times New Roman"/>
          <w:sz w:val="28"/>
          <w:szCs w:val="28"/>
        </w:rPr>
        <w:t xml:space="preserve"> Камчатск</w:t>
      </w:r>
      <w:r w:rsidR="006E0B53">
        <w:rPr>
          <w:rFonts w:ascii="Times New Roman" w:hAnsi="Times New Roman"/>
          <w:sz w:val="28"/>
          <w:szCs w:val="28"/>
        </w:rPr>
        <w:t>им</w:t>
      </w:r>
      <w:r w:rsidRPr="00FA0058">
        <w:rPr>
          <w:rFonts w:ascii="Times New Roman" w:hAnsi="Times New Roman"/>
          <w:sz w:val="28"/>
          <w:szCs w:val="28"/>
        </w:rPr>
        <w:t xml:space="preserve"> кра</w:t>
      </w:r>
      <w:r w:rsidR="006E0B53">
        <w:rPr>
          <w:rFonts w:ascii="Times New Roman" w:hAnsi="Times New Roman"/>
          <w:sz w:val="28"/>
          <w:szCs w:val="28"/>
        </w:rPr>
        <w:t xml:space="preserve">ем, </w:t>
      </w:r>
      <w:r w:rsidRPr="00FA0058">
        <w:rPr>
          <w:rFonts w:ascii="Times New Roman" w:hAnsi="Times New Roman"/>
          <w:sz w:val="28"/>
          <w:szCs w:val="28"/>
        </w:rPr>
        <w:t>по созданию и реконструкции спортивных объектов</w:t>
      </w:r>
      <w:r w:rsidR="006E0B53">
        <w:rPr>
          <w:rFonts w:ascii="Times New Roman" w:hAnsi="Times New Roman"/>
          <w:sz w:val="28"/>
          <w:szCs w:val="28"/>
        </w:rPr>
        <w:t xml:space="preserve"> на территории городского округа: реконструкция стадиона «Спартак»</w:t>
      </w:r>
      <w:r w:rsidRPr="00FA0058">
        <w:rPr>
          <w:rFonts w:ascii="Times New Roman" w:hAnsi="Times New Roman"/>
          <w:sz w:val="28"/>
          <w:szCs w:val="28"/>
        </w:rPr>
        <w:t xml:space="preserve"> </w:t>
      </w:r>
      <w:r w:rsidR="006E0B53">
        <w:rPr>
          <w:rFonts w:ascii="Times New Roman" w:hAnsi="Times New Roman"/>
          <w:sz w:val="28"/>
          <w:szCs w:val="28"/>
        </w:rPr>
        <w:t>и</w:t>
      </w:r>
      <w:r w:rsidRPr="00FA0058">
        <w:rPr>
          <w:rFonts w:ascii="Times New Roman" w:hAnsi="Times New Roman"/>
          <w:sz w:val="28"/>
          <w:szCs w:val="28"/>
        </w:rPr>
        <w:t xml:space="preserve"> горнолыжной базы «Эдельвейс», строительств</w:t>
      </w:r>
      <w:r w:rsidR="006E0B53">
        <w:rPr>
          <w:rFonts w:ascii="Times New Roman" w:hAnsi="Times New Roman"/>
          <w:sz w:val="28"/>
          <w:szCs w:val="28"/>
        </w:rPr>
        <w:t>о</w:t>
      </w:r>
      <w:r w:rsidRPr="00FA0058">
        <w:rPr>
          <w:rFonts w:ascii="Times New Roman" w:hAnsi="Times New Roman"/>
          <w:sz w:val="28"/>
          <w:szCs w:val="28"/>
        </w:rPr>
        <w:t xml:space="preserve"> физкультурно-оздоровительного комплекса с ледовой ареной и двух физкультурно-оздоровительных комплек</w:t>
      </w:r>
      <w:r w:rsidR="006E0B53">
        <w:rPr>
          <w:rFonts w:ascii="Times New Roman" w:hAnsi="Times New Roman"/>
          <w:sz w:val="28"/>
          <w:szCs w:val="28"/>
        </w:rPr>
        <w:t xml:space="preserve">сов с плавательными бассейнами, </w:t>
      </w:r>
      <w:r w:rsidRPr="00FA0058">
        <w:rPr>
          <w:rFonts w:ascii="Times New Roman" w:hAnsi="Times New Roman"/>
          <w:sz w:val="28"/>
          <w:szCs w:val="28"/>
        </w:rPr>
        <w:t xml:space="preserve">полузакрытого малокалиберного тира на стадионе </w:t>
      </w:r>
      <w:r w:rsidR="004A2261">
        <w:rPr>
          <w:rFonts w:ascii="Times New Roman" w:hAnsi="Times New Roman"/>
          <w:sz w:val="28"/>
          <w:szCs w:val="28"/>
        </w:rPr>
        <w:t>б</w:t>
      </w:r>
      <w:r w:rsidR="006E0B53">
        <w:rPr>
          <w:rFonts w:ascii="Times New Roman" w:hAnsi="Times New Roman"/>
          <w:sz w:val="28"/>
          <w:szCs w:val="28"/>
        </w:rPr>
        <w:t>иатлонного комплекса,</w:t>
      </w:r>
      <w:r w:rsidRPr="00FA0058">
        <w:rPr>
          <w:rFonts w:ascii="Times New Roman" w:hAnsi="Times New Roman"/>
          <w:sz w:val="28"/>
          <w:szCs w:val="28"/>
        </w:rPr>
        <w:t xml:space="preserve"> межшкольного </w:t>
      </w:r>
      <w:r>
        <w:rPr>
          <w:rFonts w:ascii="Times New Roman" w:hAnsi="Times New Roman"/>
          <w:sz w:val="28"/>
          <w:szCs w:val="28"/>
        </w:rPr>
        <w:t>стадиона</w:t>
      </w:r>
      <w:r w:rsidRPr="00FA0058">
        <w:rPr>
          <w:rFonts w:ascii="Times New Roman" w:hAnsi="Times New Roman"/>
          <w:sz w:val="28"/>
          <w:szCs w:val="28"/>
        </w:rPr>
        <w:t xml:space="preserve"> </w:t>
      </w:r>
      <w:r w:rsidR="006E0B53">
        <w:rPr>
          <w:rFonts w:ascii="Times New Roman" w:hAnsi="Times New Roman"/>
          <w:sz w:val="28"/>
          <w:szCs w:val="28"/>
        </w:rPr>
        <w:t xml:space="preserve">и </w:t>
      </w:r>
      <w:r w:rsidRPr="00FA0058">
        <w:rPr>
          <w:rFonts w:ascii="Times New Roman" w:hAnsi="Times New Roman"/>
          <w:sz w:val="28"/>
          <w:szCs w:val="28"/>
        </w:rPr>
        <w:t>футбольных полей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63AFB" w:rsidRPr="00FA0058" w:rsidRDefault="00A63AFB" w:rsidP="006739BC">
      <w:pPr>
        <w:spacing w:after="60"/>
        <w:rPr>
          <w:rFonts w:ascii="Times New Roman" w:hAnsi="Times New Roman"/>
          <w:sz w:val="28"/>
          <w:szCs w:val="28"/>
        </w:rPr>
      </w:pPr>
    </w:p>
    <w:p w:rsidR="006C02D6" w:rsidRDefault="006C02D6" w:rsidP="00A63AFB">
      <w:pPr>
        <w:pStyle w:val="1"/>
      </w:pPr>
      <w:bookmarkStart w:id="77" w:name="_Toc400529678"/>
      <w:bookmarkStart w:id="78" w:name="_Toc430947255"/>
      <w:bookmarkStart w:id="79" w:name="_Toc465927700"/>
      <w:r w:rsidRPr="00A63AFB">
        <w:t>1</w:t>
      </w:r>
      <w:r w:rsidR="000225D4" w:rsidRPr="00A63AFB">
        <w:t>6</w:t>
      </w:r>
      <w:r w:rsidRPr="00A63AFB">
        <w:t>. Молодежная политика</w:t>
      </w:r>
      <w:bookmarkEnd w:id="74"/>
      <w:bookmarkEnd w:id="75"/>
      <w:bookmarkEnd w:id="76"/>
      <w:bookmarkEnd w:id="77"/>
      <w:bookmarkEnd w:id="78"/>
      <w:bookmarkEnd w:id="79"/>
    </w:p>
    <w:p w:rsidR="00A63AFB" w:rsidRPr="00A63AFB" w:rsidRDefault="00A63AFB" w:rsidP="00A63AFB"/>
    <w:p w:rsidR="006C02D6" w:rsidRPr="00055381" w:rsidRDefault="006C02D6" w:rsidP="006739BC">
      <w:pPr>
        <w:tabs>
          <w:tab w:val="left" w:pos="993"/>
        </w:tabs>
        <w:spacing w:after="60"/>
        <w:rPr>
          <w:rFonts w:ascii="Times New Roman" w:hAnsi="Times New Roman"/>
          <w:sz w:val="28"/>
          <w:szCs w:val="28"/>
        </w:rPr>
      </w:pPr>
      <w:r w:rsidRPr="00055381">
        <w:rPr>
          <w:rFonts w:ascii="Times New Roman" w:hAnsi="Times New Roman"/>
          <w:sz w:val="28"/>
          <w:szCs w:val="28"/>
        </w:rPr>
        <w:t>Основными инструментами реализации молодежной политики на территории городского округа являются:</w:t>
      </w:r>
    </w:p>
    <w:p w:rsidR="006C02D6" w:rsidRPr="00055381" w:rsidRDefault="006C02D6" w:rsidP="006739BC">
      <w:pPr>
        <w:tabs>
          <w:tab w:val="left" w:pos="993"/>
        </w:tabs>
        <w:spacing w:after="60"/>
        <w:rPr>
          <w:rFonts w:ascii="Times New Roman" w:hAnsi="Times New Roman"/>
          <w:sz w:val="28"/>
          <w:szCs w:val="28"/>
        </w:rPr>
      </w:pPr>
      <w:r w:rsidRPr="00055381">
        <w:rPr>
          <w:rFonts w:ascii="Times New Roman" w:hAnsi="Times New Roman"/>
          <w:sz w:val="28"/>
          <w:szCs w:val="28"/>
        </w:rPr>
        <w:t xml:space="preserve">- подпрограмма «Молодежь </w:t>
      </w:r>
      <w:proofErr w:type="gramStart"/>
      <w:r w:rsidRPr="00055381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055381">
        <w:rPr>
          <w:rFonts w:ascii="Times New Roman" w:hAnsi="Times New Roman"/>
          <w:sz w:val="28"/>
          <w:szCs w:val="28"/>
        </w:rPr>
        <w:t xml:space="preserve"> городского округа» муниципальной программы «Создание условий для развития культуры, спорта и молодежной политики в Петропавловск-Камчатском городском округе»;</w:t>
      </w:r>
    </w:p>
    <w:p w:rsidR="006C02D6" w:rsidRPr="00055381" w:rsidRDefault="006C02D6" w:rsidP="006739BC">
      <w:pPr>
        <w:tabs>
          <w:tab w:val="left" w:pos="993"/>
        </w:tabs>
        <w:spacing w:after="60"/>
        <w:rPr>
          <w:rFonts w:ascii="Times New Roman" w:hAnsi="Times New Roman"/>
          <w:sz w:val="28"/>
          <w:szCs w:val="28"/>
        </w:rPr>
      </w:pPr>
      <w:r w:rsidRPr="00055381">
        <w:rPr>
          <w:rFonts w:ascii="Times New Roman" w:hAnsi="Times New Roman"/>
          <w:sz w:val="28"/>
          <w:szCs w:val="28"/>
        </w:rPr>
        <w:t xml:space="preserve">- подпрограмма «Обеспечение жильем молодых семей в </w:t>
      </w:r>
      <w:proofErr w:type="gramStart"/>
      <w:r w:rsidRPr="00055381">
        <w:rPr>
          <w:rFonts w:ascii="Times New Roman" w:hAnsi="Times New Roman"/>
          <w:sz w:val="28"/>
          <w:szCs w:val="28"/>
        </w:rPr>
        <w:t>Петропавловск-Камчатском</w:t>
      </w:r>
      <w:proofErr w:type="gramEnd"/>
      <w:r w:rsidRPr="00055381">
        <w:rPr>
          <w:rFonts w:ascii="Times New Roman" w:hAnsi="Times New Roman"/>
          <w:sz w:val="28"/>
          <w:szCs w:val="28"/>
        </w:rPr>
        <w:t xml:space="preserve"> городском округе» муниципальной программы «Обеспечение доступным и комфортным жильем жителей Петропавловск-Камчатского городского округа».</w:t>
      </w:r>
    </w:p>
    <w:p w:rsidR="00FC56CE" w:rsidRPr="00FC56CE" w:rsidRDefault="00FC56CE" w:rsidP="00FC56CE">
      <w:pPr>
        <w:spacing w:after="60"/>
        <w:rPr>
          <w:rFonts w:ascii="Times New Roman" w:hAnsi="Times New Roman"/>
          <w:sz w:val="28"/>
          <w:szCs w:val="28"/>
        </w:rPr>
      </w:pPr>
      <w:r w:rsidRPr="00FC56CE">
        <w:rPr>
          <w:rFonts w:ascii="Times New Roman" w:hAnsi="Times New Roman"/>
          <w:sz w:val="28"/>
          <w:szCs w:val="28"/>
        </w:rPr>
        <w:t xml:space="preserve">Целью подпрограммы «Молодежь </w:t>
      </w:r>
      <w:proofErr w:type="gramStart"/>
      <w:r w:rsidRPr="00FC56CE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FC56CE">
        <w:rPr>
          <w:rFonts w:ascii="Times New Roman" w:hAnsi="Times New Roman"/>
          <w:sz w:val="28"/>
          <w:szCs w:val="28"/>
        </w:rPr>
        <w:t xml:space="preserve"> городского округа» является создание условий для успешной социализации и эффективной самореализации молодежи. </w:t>
      </w:r>
      <w:proofErr w:type="gramStart"/>
      <w:r w:rsidRPr="00FC56CE">
        <w:rPr>
          <w:rFonts w:ascii="Times New Roman" w:hAnsi="Times New Roman"/>
          <w:sz w:val="28"/>
          <w:szCs w:val="28"/>
        </w:rPr>
        <w:t>В результате реализации программных мероприятий прогнозируется увеличение числа молодых граждан, активно участвующих в общественной, творческой и социальной жизни городского сообщества, имеющих гражданско-патриотическую позицию, уменьшение негативных проявлений в молодежной среде, снижение тенденции к экономической нестабильности молодежи.</w:t>
      </w:r>
      <w:proofErr w:type="gramEnd"/>
    </w:p>
    <w:p w:rsidR="006C02D6" w:rsidRDefault="006C02D6" w:rsidP="0000039E">
      <w:pPr>
        <w:pStyle w:val="ConsNonformat"/>
        <w:widowControl/>
        <w:spacing w:after="60"/>
        <w:ind w:right="0"/>
        <w:rPr>
          <w:rFonts w:ascii="Times New Roman" w:hAnsi="Times New Roman"/>
          <w:sz w:val="28"/>
          <w:szCs w:val="28"/>
        </w:rPr>
      </w:pPr>
      <w:r w:rsidRPr="00FC56CE">
        <w:rPr>
          <w:rFonts w:ascii="Times New Roman" w:hAnsi="Times New Roman" w:cs="Times New Roman"/>
          <w:sz w:val="28"/>
          <w:szCs w:val="28"/>
        </w:rPr>
        <w:t>В рамках реализации подпрограммы «Молодежь</w:t>
      </w:r>
      <w:r w:rsidRPr="00FC56CE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FC56CE">
        <w:rPr>
          <w:rFonts w:ascii="Times New Roman" w:eastAsiaTheme="minorHAnsi" w:hAnsi="Times New Roman"/>
          <w:sz w:val="28"/>
          <w:szCs w:val="28"/>
        </w:rPr>
        <w:t>Петропавловск-Камчатского</w:t>
      </w:r>
      <w:proofErr w:type="gramEnd"/>
      <w:r w:rsidRPr="00FC56CE">
        <w:rPr>
          <w:rFonts w:ascii="Times New Roman" w:eastAsiaTheme="minorHAnsi" w:hAnsi="Times New Roman"/>
          <w:sz w:val="28"/>
          <w:szCs w:val="28"/>
        </w:rPr>
        <w:t xml:space="preserve"> городского округа</w:t>
      </w:r>
      <w:r w:rsidRPr="00FC56CE">
        <w:rPr>
          <w:rFonts w:ascii="Times New Roman" w:hAnsi="Times New Roman" w:cs="Times New Roman"/>
          <w:sz w:val="28"/>
          <w:szCs w:val="28"/>
        </w:rPr>
        <w:t>» в 2015 году проведено 102 мол</w:t>
      </w:r>
      <w:r w:rsidRPr="00055381">
        <w:rPr>
          <w:rFonts w:ascii="Times New Roman" w:hAnsi="Times New Roman" w:cs="Times New Roman"/>
          <w:sz w:val="28"/>
          <w:szCs w:val="28"/>
        </w:rPr>
        <w:t>одежных акции, мероприятий и проектов, многие из которых реализуются о</w:t>
      </w:r>
      <w:r w:rsidR="0000039E">
        <w:rPr>
          <w:rFonts w:ascii="Times New Roman" w:hAnsi="Times New Roman" w:cs="Times New Roman"/>
          <w:sz w:val="28"/>
          <w:szCs w:val="28"/>
        </w:rPr>
        <w:t xml:space="preserve">т 3 дней до 1,5 месяцев. </w:t>
      </w:r>
      <w:proofErr w:type="gramStart"/>
      <w:r w:rsidRPr="00055381">
        <w:rPr>
          <w:rFonts w:ascii="Times New Roman" w:hAnsi="Times New Roman"/>
          <w:sz w:val="28"/>
          <w:szCs w:val="28"/>
        </w:rPr>
        <w:t xml:space="preserve">Самые яркие </w:t>
      </w:r>
      <w:r w:rsidR="0000039E">
        <w:rPr>
          <w:rFonts w:ascii="Times New Roman" w:hAnsi="Times New Roman"/>
          <w:sz w:val="28"/>
          <w:szCs w:val="28"/>
        </w:rPr>
        <w:t>из них</w:t>
      </w:r>
      <w:r w:rsidRPr="0005538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г</w:t>
      </w:r>
      <w:r w:rsidRPr="00055381">
        <w:rPr>
          <w:rFonts w:ascii="Times New Roman" w:hAnsi="Times New Roman"/>
          <w:sz w:val="28"/>
          <w:szCs w:val="28"/>
        </w:rPr>
        <w:t>ородской этап конкурса на лучшую молодую семью, День молодежи, образовательный проект «Бизнес-молодежи», музыкальный рок-фестиваль «Живая волна», акция «Георгиевская ленточка», городской молодежный фестиваль «Петропавловск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38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381">
        <w:rPr>
          <w:rFonts w:ascii="Times New Roman" w:hAnsi="Times New Roman"/>
          <w:sz w:val="28"/>
          <w:szCs w:val="28"/>
        </w:rPr>
        <w:t>город молодых», вечер авторской песни «Песни о любви на разных языках», городская молодежная премия «Белая ворона».</w:t>
      </w:r>
      <w:proofErr w:type="gramEnd"/>
    </w:p>
    <w:p w:rsidR="00EE4CD4" w:rsidRDefault="006C02D6" w:rsidP="006739BC">
      <w:pPr>
        <w:pStyle w:val="ConsNonformat"/>
        <w:widowControl/>
        <w:spacing w:after="60"/>
        <w:ind w:right="0"/>
        <w:rPr>
          <w:rFonts w:ascii="Times New Roman" w:hAnsi="Times New Roman" w:cs="Times New Roman"/>
          <w:sz w:val="28"/>
          <w:szCs w:val="28"/>
        </w:rPr>
      </w:pPr>
      <w:proofErr w:type="gramStart"/>
      <w:r w:rsidRPr="006A0C3E">
        <w:rPr>
          <w:rFonts w:ascii="Times New Roman" w:hAnsi="Times New Roman" w:cs="Times New Roman"/>
          <w:sz w:val="28"/>
          <w:szCs w:val="28"/>
        </w:rPr>
        <w:t>В рамках поддержки общественных организаций и объединений ежегодно проводится конкурс проектов и программ общественных организаций и объединений на предоставление субсидий из бюджета городского округа на поддержку общественных инициатив по направлениям молодежной политики.</w:t>
      </w:r>
      <w:proofErr w:type="gramEnd"/>
      <w:r w:rsidRPr="006A0C3E">
        <w:rPr>
          <w:rFonts w:ascii="Times New Roman" w:hAnsi="Times New Roman" w:cs="Times New Roman"/>
          <w:sz w:val="28"/>
          <w:szCs w:val="28"/>
        </w:rPr>
        <w:t xml:space="preserve"> Победителями конкурса в 2016 году признано 15 проектов</w:t>
      </w:r>
      <w:r w:rsidR="00EE4CD4">
        <w:rPr>
          <w:rFonts w:ascii="Times New Roman" w:hAnsi="Times New Roman" w:cs="Times New Roman"/>
          <w:sz w:val="28"/>
          <w:szCs w:val="28"/>
        </w:rPr>
        <w:t>.</w:t>
      </w:r>
    </w:p>
    <w:p w:rsidR="00FC56CE" w:rsidRDefault="00EE4CD4" w:rsidP="00FC56CE">
      <w:pPr>
        <w:pStyle w:val="ConsNonformat"/>
        <w:widowControl/>
        <w:spacing w:after="60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C02D6" w:rsidRPr="006A0C3E">
        <w:rPr>
          <w:rFonts w:ascii="Times New Roman" w:hAnsi="Times New Roman" w:cs="Times New Roman"/>
          <w:sz w:val="28"/>
          <w:szCs w:val="28"/>
        </w:rPr>
        <w:t xml:space="preserve">едется постоянная работа с общественными </w:t>
      </w:r>
      <w:r w:rsidR="006C02D6" w:rsidRPr="00917E14">
        <w:rPr>
          <w:rFonts w:ascii="Times New Roman" w:hAnsi="Times New Roman" w:cs="Times New Roman"/>
          <w:sz w:val="28"/>
          <w:szCs w:val="28"/>
        </w:rPr>
        <w:t xml:space="preserve">молодежными организациями, добровольческими организациями, проводятся совместные акции и мероприятия.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0039E">
        <w:rPr>
          <w:rFonts w:ascii="Times New Roman" w:hAnsi="Times New Roman"/>
          <w:sz w:val="28"/>
          <w:szCs w:val="28"/>
        </w:rPr>
        <w:t>целях</w:t>
      </w:r>
      <w:r>
        <w:rPr>
          <w:rFonts w:ascii="Times New Roman" w:hAnsi="Times New Roman"/>
          <w:sz w:val="28"/>
          <w:szCs w:val="28"/>
        </w:rPr>
        <w:t xml:space="preserve"> </w:t>
      </w:r>
      <w:r w:rsidR="006C02D6" w:rsidRPr="00917E14">
        <w:rPr>
          <w:rFonts w:ascii="Times New Roman" w:hAnsi="Times New Roman"/>
          <w:sz w:val="28"/>
          <w:szCs w:val="28"/>
        </w:rPr>
        <w:t>формировани</w:t>
      </w:r>
      <w:r>
        <w:rPr>
          <w:rFonts w:ascii="Times New Roman" w:hAnsi="Times New Roman"/>
          <w:sz w:val="28"/>
          <w:szCs w:val="28"/>
        </w:rPr>
        <w:t>я</w:t>
      </w:r>
      <w:r w:rsidR="006C02D6" w:rsidRPr="00917E14">
        <w:rPr>
          <w:rFonts w:ascii="Times New Roman" w:hAnsi="Times New Roman"/>
          <w:sz w:val="28"/>
          <w:szCs w:val="28"/>
        </w:rPr>
        <w:t xml:space="preserve"> гражданско-патриотической и социальной активности молодежи проводились мероприятия по вовлечению </w:t>
      </w:r>
      <w:r w:rsidR="006C02D6" w:rsidRPr="00917E14">
        <w:rPr>
          <w:rFonts w:ascii="Times New Roman" w:hAnsi="Times New Roman"/>
          <w:sz w:val="28"/>
          <w:szCs w:val="28"/>
        </w:rPr>
        <w:lastRenderedPageBreak/>
        <w:t xml:space="preserve">молодежи в социальную практику, общественную, </w:t>
      </w:r>
      <w:r w:rsidR="006C02D6" w:rsidRPr="000D1FA1">
        <w:rPr>
          <w:rFonts w:ascii="Times New Roman" w:hAnsi="Times New Roman"/>
          <w:sz w:val="28"/>
          <w:szCs w:val="28"/>
        </w:rPr>
        <w:t>экономическую и гражданскую жизнь в рамках проектов «Доброволец», «Команда», «Шаг навстречу».</w:t>
      </w:r>
      <w:r>
        <w:rPr>
          <w:rFonts w:ascii="Times New Roman" w:hAnsi="Times New Roman"/>
          <w:sz w:val="28"/>
          <w:szCs w:val="28"/>
        </w:rPr>
        <w:t xml:space="preserve"> </w:t>
      </w:r>
      <w:r w:rsidR="006C02D6" w:rsidRPr="000D1FA1">
        <w:rPr>
          <w:rFonts w:ascii="Times New Roman" w:hAnsi="Times New Roman"/>
          <w:sz w:val="28"/>
          <w:szCs w:val="28"/>
        </w:rPr>
        <w:t>В профилактических лагерях отдохну</w:t>
      </w:r>
      <w:r>
        <w:rPr>
          <w:rFonts w:ascii="Times New Roman" w:hAnsi="Times New Roman"/>
          <w:sz w:val="28"/>
          <w:szCs w:val="28"/>
        </w:rPr>
        <w:t>ли</w:t>
      </w:r>
      <w:r w:rsidR="006C02D6" w:rsidRPr="000D1FA1">
        <w:rPr>
          <w:rFonts w:ascii="Times New Roman" w:hAnsi="Times New Roman"/>
          <w:sz w:val="28"/>
          <w:szCs w:val="28"/>
        </w:rPr>
        <w:t xml:space="preserve"> 32 подростка «группы риска».</w:t>
      </w:r>
    </w:p>
    <w:p w:rsidR="00FC56CE" w:rsidRPr="004A6931" w:rsidRDefault="00FC56CE" w:rsidP="00FC56CE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4A6931">
        <w:rPr>
          <w:rFonts w:ascii="Times New Roman" w:hAnsi="Times New Roman" w:cs="Times New Roman"/>
          <w:sz w:val="28"/>
          <w:szCs w:val="28"/>
        </w:rPr>
        <w:t>Отдельным направлением работы является трудоустройство несовершеннолетних.</w:t>
      </w:r>
    </w:p>
    <w:p w:rsidR="00FC56CE" w:rsidRPr="004A6931" w:rsidRDefault="00FC56CE" w:rsidP="00FC56CE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4A6931">
        <w:rPr>
          <w:rFonts w:ascii="Times New Roman" w:hAnsi="Times New Roman" w:cs="Times New Roman"/>
          <w:sz w:val="28"/>
          <w:szCs w:val="28"/>
        </w:rPr>
        <w:t xml:space="preserve">В рамках подпрограммы осуществляется информирование молодежи о трудоустройстве, </w:t>
      </w:r>
      <w:proofErr w:type="spellStart"/>
      <w:r w:rsidRPr="004A6931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4A6931">
        <w:rPr>
          <w:rFonts w:ascii="Times New Roman" w:hAnsi="Times New Roman" w:cs="Times New Roman"/>
          <w:sz w:val="28"/>
          <w:szCs w:val="28"/>
        </w:rPr>
        <w:t xml:space="preserve"> работа и непосредственное создание дополнительных рабочих мест по благоустройству городских территорий в молодежных трудовых отрядах «Молодой Петропавловск». В 2015 году в трудовые отряды «Молодой Петропавловск» был трудо</w:t>
      </w:r>
      <w:r>
        <w:rPr>
          <w:rFonts w:ascii="Times New Roman" w:hAnsi="Times New Roman" w:cs="Times New Roman"/>
          <w:sz w:val="28"/>
          <w:szCs w:val="28"/>
        </w:rPr>
        <w:t xml:space="preserve">устроен 561 несовершеннолетний, </w:t>
      </w:r>
      <w:r w:rsidRPr="004A6931">
        <w:rPr>
          <w:rFonts w:ascii="Times New Roman" w:hAnsi="Times New Roman" w:cs="Times New Roman"/>
          <w:sz w:val="28"/>
          <w:szCs w:val="28"/>
        </w:rPr>
        <w:t>в 2016 году планируется трудоустроить 624 подростка.</w:t>
      </w:r>
    </w:p>
    <w:p w:rsidR="00FC56CE" w:rsidRPr="00C27EE7" w:rsidRDefault="00FC56CE" w:rsidP="00FC56CE">
      <w:pPr>
        <w:tabs>
          <w:tab w:val="num" w:pos="1080"/>
        </w:tabs>
        <w:spacing w:after="0"/>
        <w:rPr>
          <w:rFonts w:ascii="Times New Roman" w:hAnsi="Times New Roman"/>
          <w:sz w:val="28"/>
          <w:szCs w:val="28"/>
        </w:rPr>
      </w:pPr>
      <w:r w:rsidRPr="00C27EE7">
        <w:rPr>
          <w:rFonts w:ascii="Times New Roman" w:hAnsi="Times New Roman"/>
          <w:sz w:val="28"/>
          <w:szCs w:val="28"/>
        </w:rPr>
        <w:t xml:space="preserve">В 2015 году в рамках профориентации проведены молодежные мероприятия, в том числе: образовательный проект «Бизнес – молодежи»; </w:t>
      </w:r>
      <w:proofErr w:type="spellStart"/>
      <w:r w:rsidRPr="00C27EE7">
        <w:rPr>
          <w:rFonts w:ascii="Times New Roman" w:hAnsi="Times New Roman"/>
          <w:sz w:val="28"/>
          <w:szCs w:val="28"/>
        </w:rPr>
        <w:t>АртПрофиФорум</w:t>
      </w:r>
      <w:proofErr w:type="spellEnd"/>
      <w:r w:rsidRPr="00C27E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27EE7">
        <w:rPr>
          <w:rFonts w:ascii="Times New Roman" w:hAnsi="Times New Roman"/>
          <w:sz w:val="28"/>
          <w:szCs w:val="28"/>
        </w:rPr>
        <w:t>и.т.д</w:t>
      </w:r>
      <w:proofErr w:type="spellEnd"/>
      <w:r w:rsidRPr="00C27EE7">
        <w:rPr>
          <w:rFonts w:ascii="Times New Roman" w:hAnsi="Times New Roman"/>
          <w:sz w:val="28"/>
          <w:szCs w:val="28"/>
        </w:rPr>
        <w:t>.</w:t>
      </w:r>
    </w:p>
    <w:p w:rsidR="00FC56CE" w:rsidRPr="00C27EE7" w:rsidRDefault="00FC56CE" w:rsidP="00FC56CE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proofErr w:type="gramStart"/>
      <w:r w:rsidRPr="00C27EE7">
        <w:rPr>
          <w:rFonts w:ascii="Times New Roman" w:hAnsi="Times New Roman" w:cs="Times New Roman"/>
          <w:sz w:val="28"/>
          <w:szCs w:val="28"/>
        </w:rPr>
        <w:t>Политика администрации городского округа по работе с молодежью на среднесрочную перспективу будет нацелена на с</w:t>
      </w:r>
      <w:r w:rsidRPr="00C27EE7">
        <w:rPr>
          <w:rFonts w:ascii="Times New Roman" w:eastAsia="Calibri" w:hAnsi="Times New Roman" w:cs="Times New Roman"/>
          <w:sz w:val="28"/>
          <w:szCs w:val="28"/>
        </w:rPr>
        <w:t>оздание условий для успешной социализации и эффективной само</w:t>
      </w:r>
      <w:r w:rsidRPr="00C27EE7">
        <w:rPr>
          <w:rFonts w:ascii="Times New Roman" w:hAnsi="Times New Roman" w:cs="Times New Roman"/>
          <w:sz w:val="28"/>
          <w:szCs w:val="28"/>
        </w:rPr>
        <w:t xml:space="preserve">реализации молодежи и </w:t>
      </w:r>
      <w:r w:rsidRPr="00C27EE7">
        <w:rPr>
          <w:rFonts w:ascii="Times New Roman" w:eastAsia="Calibri" w:hAnsi="Times New Roman" w:cs="Times New Roman"/>
          <w:sz w:val="28"/>
          <w:szCs w:val="28"/>
        </w:rPr>
        <w:t>развитие эффективных моделей, форм и методов вовлечения молодежи в трудовую и экономическую деятельность, временное трудоустройство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7EE7">
        <w:rPr>
          <w:rFonts w:ascii="Times New Roman" w:eastAsia="Calibri" w:hAnsi="Times New Roman" w:cs="Times New Roman"/>
          <w:sz w:val="28"/>
          <w:szCs w:val="28"/>
        </w:rPr>
        <w:t>несовершеннолетних</w:t>
      </w:r>
      <w:r w:rsidRPr="00C27EE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C02D6" w:rsidRPr="006A0C3E" w:rsidRDefault="006C02D6" w:rsidP="006739BC">
      <w:pPr>
        <w:spacing w:after="60"/>
        <w:rPr>
          <w:rFonts w:ascii="Times New Roman" w:hAnsi="Times New Roman"/>
          <w:sz w:val="28"/>
          <w:szCs w:val="28"/>
        </w:rPr>
      </w:pPr>
      <w:r w:rsidRPr="000D1FA1">
        <w:rPr>
          <w:rFonts w:ascii="Times New Roman" w:hAnsi="Times New Roman"/>
          <w:sz w:val="28"/>
          <w:szCs w:val="28"/>
        </w:rPr>
        <w:t xml:space="preserve">Подпрограмма «Обеспечение жильем молодых семей в </w:t>
      </w:r>
      <w:proofErr w:type="gramStart"/>
      <w:r w:rsidRPr="000D1FA1">
        <w:rPr>
          <w:rFonts w:ascii="Times New Roman" w:hAnsi="Times New Roman"/>
          <w:sz w:val="28"/>
          <w:szCs w:val="28"/>
        </w:rPr>
        <w:t>Петропавловск-Камчатском</w:t>
      </w:r>
      <w:proofErr w:type="gramEnd"/>
      <w:r w:rsidRPr="000D1FA1">
        <w:rPr>
          <w:rFonts w:ascii="Times New Roman" w:hAnsi="Times New Roman"/>
          <w:sz w:val="28"/>
          <w:szCs w:val="28"/>
        </w:rPr>
        <w:t xml:space="preserve"> городском округе» сохраняет приоритетный статус на протяжении всего периода своей реализации. За это время 43</w:t>
      </w:r>
      <w:r w:rsidR="0000039E">
        <w:rPr>
          <w:rFonts w:ascii="Times New Roman" w:hAnsi="Times New Roman"/>
          <w:sz w:val="28"/>
          <w:szCs w:val="28"/>
        </w:rPr>
        <w:t>1 молодая семья приобрела жилье:</w:t>
      </w:r>
    </w:p>
    <w:p w:rsidR="006C02D6" w:rsidRPr="00F563C7" w:rsidRDefault="006C02D6" w:rsidP="00EE6A7C">
      <w:pPr>
        <w:pStyle w:val="a8"/>
        <w:spacing w:after="0"/>
        <w:ind w:firstLine="0"/>
        <w:jc w:val="center"/>
        <w:rPr>
          <w:sz w:val="28"/>
          <w:szCs w:val="28"/>
          <w:highlight w:val="green"/>
        </w:rPr>
      </w:pPr>
      <w:r w:rsidRPr="006F052B">
        <w:rPr>
          <w:noProof/>
          <w:sz w:val="28"/>
          <w:szCs w:val="28"/>
          <w:bdr w:val="single" w:sz="4" w:space="0" w:color="auto"/>
        </w:rPr>
        <w:drawing>
          <wp:inline distT="0" distB="0" distL="0" distR="0" wp14:anchorId="3902679A" wp14:editId="2C4D46A7">
            <wp:extent cx="5158596" cy="1656272"/>
            <wp:effectExtent l="0" t="0" r="23495" b="20320"/>
            <wp:docPr id="1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 w:rsidRPr="006F052B">
        <w:rPr>
          <w:noProof/>
          <w:sz w:val="28"/>
          <w:szCs w:val="28"/>
          <w:highlight w:val="green"/>
          <w:bdr w:val="single" w:sz="4" w:space="0" w:color="auto"/>
        </w:rPr>
        <w:t xml:space="preserve"> </w:t>
      </w:r>
    </w:p>
    <w:p w:rsidR="006C02D6" w:rsidRPr="00F563C7" w:rsidRDefault="006C02D6" w:rsidP="006C02D6">
      <w:pPr>
        <w:pStyle w:val="ConsNonformat"/>
        <w:widowControl/>
        <w:ind w:right="0"/>
        <w:jc w:val="center"/>
        <w:rPr>
          <w:rFonts w:ascii="Times New Roman" w:hAnsi="Times New Roman" w:cs="Times New Roman"/>
          <w:i/>
          <w:iCs/>
          <w:sz w:val="12"/>
          <w:szCs w:val="12"/>
          <w:highlight w:val="green"/>
        </w:rPr>
      </w:pPr>
    </w:p>
    <w:p w:rsidR="006C02D6" w:rsidRPr="006E6E67" w:rsidRDefault="006C02D6" w:rsidP="006C02D6">
      <w:pPr>
        <w:pStyle w:val="ConsNonformat"/>
        <w:widowControl/>
        <w:ind w:righ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E6E67">
        <w:rPr>
          <w:rFonts w:ascii="Times New Roman" w:hAnsi="Times New Roman" w:cs="Times New Roman"/>
          <w:i/>
          <w:iCs/>
          <w:sz w:val="24"/>
          <w:szCs w:val="24"/>
        </w:rPr>
        <w:t xml:space="preserve">Рис.15.1. Число выданных свидетельств </w:t>
      </w:r>
      <w:proofErr w:type="gramStart"/>
      <w:r w:rsidRPr="006E6E67">
        <w:rPr>
          <w:rFonts w:ascii="Times New Roman" w:hAnsi="Times New Roman" w:cs="Times New Roman"/>
          <w:i/>
          <w:iCs/>
          <w:sz w:val="24"/>
          <w:szCs w:val="24"/>
        </w:rPr>
        <w:t>о праве на получение социальной выплаты при приобретении жилья для молодых семей</w:t>
      </w:r>
      <w:proofErr w:type="gramEnd"/>
      <w:r w:rsidRPr="006E6E67">
        <w:rPr>
          <w:rFonts w:ascii="Times New Roman" w:hAnsi="Times New Roman" w:cs="Times New Roman"/>
          <w:i/>
          <w:iCs/>
          <w:sz w:val="24"/>
          <w:szCs w:val="24"/>
        </w:rPr>
        <w:t xml:space="preserve"> в 2008-2016 годах, единиц</w:t>
      </w:r>
    </w:p>
    <w:p w:rsidR="006C02D6" w:rsidRPr="00F563C7" w:rsidRDefault="006C02D6" w:rsidP="006C02D6">
      <w:pPr>
        <w:pStyle w:val="ConsNonformat"/>
        <w:widowControl/>
        <w:ind w:right="0"/>
        <w:rPr>
          <w:rFonts w:ascii="Times New Roman" w:hAnsi="Times New Roman" w:cs="Times New Roman"/>
          <w:sz w:val="12"/>
          <w:szCs w:val="12"/>
          <w:highlight w:val="green"/>
        </w:rPr>
      </w:pPr>
    </w:p>
    <w:p w:rsidR="006C02D6" w:rsidRPr="00C27EE7" w:rsidRDefault="006C02D6" w:rsidP="006739BC">
      <w:pPr>
        <w:pStyle w:val="af6"/>
        <w:spacing w:after="60"/>
        <w:rPr>
          <w:rFonts w:ascii="Times New Roman" w:hAnsi="Times New Roman" w:cs="Times New Roman"/>
          <w:sz w:val="28"/>
          <w:szCs w:val="28"/>
        </w:rPr>
      </w:pPr>
      <w:r w:rsidRPr="00C27EE7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27EE7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27EE7">
        <w:rPr>
          <w:rFonts w:ascii="Times New Roman" w:hAnsi="Times New Roman" w:cs="Times New Roman"/>
          <w:sz w:val="28"/>
          <w:szCs w:val="28"/>
        </w:rPr>
        <w:t xml:space="preserve"> годах основными направлениями реализации молодежной политики на территории городского округа останутся:</w:t>
      </w:r>
    </w:p>
    <w:p w:rsidR="006C02D6" w:rsidRPr="00C27EE7" w:rsidRDefault="006C02D6" w:rsidP="006739BC">
      <w:pPr>
        <w:pStyle w:val="af6"/>
        <w:tabs>
          <w:tab w:val="left" w:pos="993"/>
        </w:tabs>
        <w:spacing w:after="60"/>
        <w:rPr>
          <w:rFonts w:ascii="Times New Roman" w:hAnsi="Times New Roman" w:cs="Times New Roman"/>
          <w:sz w:val="28"/>
          <w:szCs w:val="28"/>
        </w:rPr>
      </w:pPr>
      <w:r w:rsidRPr="00C27EE7">
        <w:rPr>
          <w:rFonts w:ascii="Times New Roman" w:hAnsi="Times New Roman" w:cs="Times New Roman"/>
          <w:sz w:val="28"/>
          <w:szCs w:val="28"/>
        </w:rPr>
        <w:t>-</w:t>
      </w:r>
      <w:r w:rsidRPr="00C27EE7">
        <w:rPr>
          <w:rFonts w:ascii="Times New Roman" w:hAnsi="Times New Roman" w:cs="Times New Roman"/>
          <w:sz w:val="28"/>
          <w:szCs w:val="28"/>
        </w:rPr>
        <w:tab/>
        <w:t>вовлечение молодежи в социальную практику и ее информирование, создание условий для формирования здорового образа жизни, активного включения молодежи в социально-экономическую, политическую и культурную жизнь общества;</w:t>
      </w:r>
    </w:p>
    <w:p w:rsidR="006C02D6" w:rsidRPr="00C27EE7" w:rsidRDefault="006C02D6" w:rsidP="006739BC">
      <w:pPr>
        <w:pStyle w:val="af6"/>
        <w:tabs>
          <w:tab w:val="left" w:pos="993"/>
        </w:tabs>
        <w:spacing w:after="60"/>
        <w:rPr>
          <w:rFonts w:ascii="Times New Roman" w:hAnsi="Times New Roman" w:cs="Times New Roman"/>
          <w:sz w:val="28"/>
          <w:szCs w:val="28"/>
        </w:rPr>
      </w:pPr>
      <w:r w:rsidRPr="00C27EE7">
        <w:rPr>
          <w:rFonts w:ascii="Times New Roman" w:hAnsi="Times New Roman" w:cs="Times New Roman"/>
          <w:sz w:val="28"/>
          <w:szCs w:val="28"/>
        </w:rPr>
        <w:t>-</w:t>
      </w:r>
      <w:r w:rsidRPr="00C27EE7">
        <w:rPr>
          <w:rFonts w:ascii="Times New Roman" w:hAnsi="Times New Roman" w:cs="Times New Roman"/>
          <w:sz w:val="28"/>
          <w:szCs w:val="28"/>
        </w:rPr>
        <w:tab/>
        <w:t>выявление и продвижение талантливой молодежи, поддержка общественных организаций и объединений в реализации творческих, научных, спортивных, социальных проектов и программ;</w:t>
      </w:r>
    </w:p>
    <w:p w:rsidR="006C02D6" w:rsidRPr="00C27EE7" w:rsidRDefault="006C02D6" w:rsidP="006739BC">
      <w:pPr>
        <w:pStyle w:val="af6"/>
        <w:tabs>
          <w:tab w:val="left" w:pos="993"/>
        </w:tabs>
        <w:spacing w:after="60"/>
        <w:rPr>
          <w:rFonts w:ascii="Times New Roman" w:hAnsi="Times New Roman" w:cs="Times New Roman"/>
          <w:sz w:val="28"/>
          <w:szCs w:val="28"/>
        </w:rPr>
      </w:pPr>
      <w:r w:rsidRPr="00C27EE7">
        <w:rPr>
          <w:rFonts w:ascii="Times New Roman" w:hAnsi="Times New Roman" w:cs="Times New Roman"/>
          <w:sz w:val="28"/>
          <w:szCs w:val="28"/>
        </w:rPr>
        <w:t>-</w:t>
      </w:r>
      <w:r w:rsidRPr="00C27EE7">
        <w:rPr>
          <w:rFonts w:ascii="Times New Roman" w:hAnsi="Times New Roman" w:cs="Times New Roman"/>
          <w:sz w:val="28"/>
          <w:szCs w:val="28"/>
        </w:rPr>
        <w:tab/>
        <w:t>поддержка в решении жилищной проблемы молодых семей;</w:t>
      </w:r>
    </w:p>
    <w:p w:rsidR="006C02D6" w:rsidRPr="00C27EE7" w:rsidRDefault="006C02D6" w:rsidP="006739BC">
      <w:pPr>
        <w:pStyle w:val="af6"/>
        <w:tabs>
          <w:tab w:val="left" w:pos="993"/>
        </w:tabs>
        <w:spacing w:after="60"/>
        <w:rPr>
          <w:rFonts w:ascii="Times New Roman" w:hAnsi="Times New Roman" w:cs="Times New Roman"/>
          <w:sz w:val="28"/>
          <w:szCs w:val="28"/>
        </w:rPr>
      </w:pPr>
      <w:r w:rsidRPr="00C27EE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C27EE7">
        <w:rPr>
          <w:rFonts w:ascii="Times New Roman" w:hAnsi="Times New Roman" w:cs="Times New Roman"/>
          <w:sz w:val="28"/>
          <w:szCs w:val="28"/>
        </w:rPr>
        <w:tab/>
        <w:t xml:space="preserve">развитие форм и методов вовлечения молодежи в трудовую деятельность; содействие молодежи при выборе профессии и вступлении в трудовую жизнь, создание условий для трудоустройства несовершеннолетних планируется осуществить путем организации муниципальных мероприятий, направленных на трудовую адаптацию молодежи, формирование среди учащихся 9-11 классов общеобразовательных учреждений понимания необходимости осознанного выбора профессии, участие молодежи в трудовых и экологических акциях и трудоустройство несовершеннолетних на временных дополнительно созданных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r w:rsidRPr="000F264C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F264C">
        <w:rPr>
          <w:rFonts w:ascii="Times New Roman" w:hAnsi="Times New Roman" w:cs="Times New Roman"/>
          <w:sz w:val="28"/>
          <w:szCs w:val="28"/>
        </w:rPr>
        <w:t xml:space="preserve"> автономно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F264C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F26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F264C">
        <w:rPr>
          <w:rFonts w:ascii="Times New Roman" w:hAnsi="Times New Roman" w:cs="Times New Roman"/>
          <w:sz w:val="28"/>
          <w:szCs w:val="28"/>
        </w:rPr>
        <w:t>Молодежный центр Петропавловск-Камчатского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EE7">
        <w:rPr>
          <w:rFonts w:ascii="Times New Roman" w:hAnsi="Times New Roman" w:cs="Times New Roman"/>
          <w:sz w:val="28"/>
          <w:szCs w:val="28"/>
        </w:rPr>
        <w:t xml:space="preserve"> рабочих местах по благоустройству территории городского округа;</w:t>
      </w:r>
    </w:p>
    <w:p w:rsidR="006C02D6" w:rsidRPr="00C27EE7" w:rsidRDefault="006C02D6" w:rsidP="006739BC">
      <w:pPr>
        <w:pStyle w:val="af6"/>
        <w:tabs>
          <w:tab w:val="left" w:pos="993"/>
        </w:tabs>
        <w:spacing w:after="60"/>
        <w:rPr>
          <w:rFonts w:ascii="Times New Roman" w:hAnsi="Times New Roman" w:cs="Times New Roman"/>
          <w:sz w:val="28"/>
          <w:szCs w:val="28"/>
        </w:rPr>
      </w:pPr>
      <w:r w:rsidRPr="00C27EE7">
        <w:rPr>
          <w:rFonts w:ascii="Times New Roman" w:hAnsi="Times New Roman" w:cs="Times New Roman"/>
          <w:sz w:val="28"/>
          <w:szCs w:val="28"/>
        </w:rPr>
        <w:t>-</w:t>
      </w:r>
      <w:r w:rsidRPr="00C27EE7">
        <w:rPr>
          <w:rFonts w:ascii="Times New Roman" w:hAnsi="Times New Roman" w:cs="Times New Roman"/>
          <w:sz w:val="28"/>
          <w:szCs w:val="28"/>
        </w:rPr>
        <w:tab/>
        <w:t>профилактика асоциальных явлений и интеграция в жизнь общества молодых людей, попавших в трудную жизненную ситуацию.</w:t>
      </w:r>
    </w:p>
    <w:p w:rsidR="006C02D6" w:rsidRPr="00C27EE7" w:rsidRDefault="006C02D6" w:rsidP="006739BC">
      <w:pPr>
        <w:spacing w:after="60"/>
        <w:rPr>
          <w:rFonts w:ascii="Times New Roman" w:hAnsi="Times New Roman"/>
          <w:sz w:val="28"/>
          <w:szCs w:val="28"/>
        </w:rPr>
      </w:pPr>
      <w:r w:rsidRPr="00C27EE7">
        <w:rPr>
          <w:rFonts w:ascii="Times New Roman" w:hAnsi="Times New Roman"/>
          <w:sz w:val="28"/>
          <w:szCs w:val="28"/>
        </w:rPr>
        <w:t xml:space="preserve">Мероприятия будут выполняться в соответствии с муниципальной программой «Создание условий для развития культуры, спорта и молодежной политики в </w:t>
      </w:r>
      <w:proofErr w:type="gramStart"/>
      <w:r w:rsidRPr="00C27EE7">
        <w:rPr>
          <w:rFonts w:ascii="Times New Roman" w:hAnsi="Times New Roman"/>
          <w:sz w:val="28"/>
          <w:szCs w:val="28"/>
        </w:rPr>
        <w:t>Петропавловск-Камчатском</w:t>
      </w:r>
      <w:proofErr w:type="gramEnd"/>
      <w:r w:rsidRPr="00C27EE7">
        <w:rPr>
          <w:rFonts w:ascii="Times New Roman" w:hAnsi="Times New Roman"/>
          <w:sz w:val="28"/>
          <w:szCs w:val="28"/>
        </w:rPr>
        <w:t xml:space="preserve"> городском округе» (подпрограмма 2 «Молодежь Петропавловск-Камчатского городского округа»).</w:t>
      </w:r>
    </w:p>
    <w:p w:rsidR="006C02D6" w:rsidRDefault="006C02D6" w:rsidP="006739BC">
      <w:pPr>
        <w:autoSpaceDE w:val="0"/>
        <w:autoSpaceDN w:val="0"/>
        <w:adjustRightInd w:val="0"/>
        <w:spacing w:after="60"/>
        <w:rPr>
          <w:rFonts w:ascii="Times New Roman" w:hAnsi="Times New Roman"/>
          <w:sz w:val="28"/>
          <w:szCs w:val="28"/>
        </w:rPr>
      </w:pPr>
      <w:r w:rsidRPr="00C27EE7">
        <w:rPr>
          <w:rFonts w:ascii="Times New Roman" w:hAnsi="Times New Roman"/>
          <w:sz w:val="28"/>
          <w:szCs w:val="28"/>
        </w:rPr>
        <w:t>В результате проведения программных мероприятий увеличится количество реализованных молодежных мероприятий и проектов, проводимых с привлечением молодежных общественных и добровольческих организаций и объединений; увеличится количество детей и молодежи, отправленных в профильные лагеря, а также несовершеннолетних «группы риска», направленных в профилактические лагеря. Увеличится количество трудоустроенных несовершеннолетних на дополнительных рабочих местах в трудовых отрядах «Молодой Петропавловск» и т.д.</w:t>
      </w:r>
    </w:p>
    <w:p w:rsidR="00A63AFB" w:rsidRPr="00BA6142" w:rsidRDefault="00A63AFB" w:rsidP="006739BC">
      <w:pPr>
        <w:autoSpaceDE w:val="0"/>
        <w:autoSpaceDN w:val="0"/>
        <w:adjustRightInd w:val="0"/>
        <w:spacing w:after="60"/>
        <w:rPr>
          <w:rFonts w:ascii="Times New Roman" w:hAnsi="Times New Roman"/>
          <w:sz w:val="28"/>
          <w:szCs w:val="28"/>
        </w:rPr>
      </w:pPr>
    </w:p>
    <w:p w:rsidR="006C02D6" w:rsidRDefault="006C02D6" w:rsidP="00A63AFB">
      <w:pPr>
        <w:pStyle w:val="1"/>
      </w:pPr>
      <w:bookmarkStart w:id="80" w:name="_Toc400529680"/>
      <w:bookmarkStart w:id="81" w:name="_Toc430947256"/>
      <w:bookmarkStart w:id="82" w:name="_Toc465927701"/>
      <w:r w:rsidRPr="00A63AFB">
        <w:t>1</w:t>
      </w:r>
      <w:r w:rsidR="000225D4" w:rsidRPr="00A63AFB">
        <w:t>7</w:t>
      </w:r>
      <w:r w:rsidRPr="00A63AFB">
        <w:t>. Бюджет и финансовые ресурсы</w:t>
      </w:r>
      <w:bookmarkEnd w:id="80"/>
      <w:bookmarkEnd w:id="81"/>
      <w:bookmarkEnd w:id="82"/>
    </w:p>
    <w:p w:rsidR="00A63AFB" w:rsidRPr="00A63AFB" w:rsidRDefault="00A63AFB" w:rsidP="00A63AFB"/>
    <w:p w:rsidR="000A1AEC" w:rsidRPr="00FD6CE1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bookmarkStart w:id="83" w:name="_Toc430947257"/>
      <w:r w:rsidRPr="00FD6CE1">
        <w:rPr>
          <w:rFonts w:ascii="Times New Roman" w:hAnsi="Times New Roman"/>
          <w:spacing w:val="-8"/>
          <w:sz w:val="28"/>
          <w:szCs w:val="28"/>
        </w:rPr>
        <w:t xml:space="preserve">В бюджет </w:t>
      </w:r>
      <w:r w:rsidRPr="00FD6CE1">
        <w:rPr>
          <w:rFonts w:ascii="Times New Roman" w:hAnsi="Times New Roman"/>
          <w:spacing w:val="-5"/>
          <w:sz w:val="28"/>
          <w:szCs w:val="28"/>
        </w:rPr>
        <w:t xml:space="preserve">городского округа поступило налоговых и неналоговых доходов </w:t>
      </w:r>
      <w:r w:rsidRPr="00FD6CE1">
        <w:rPr>
          <w:rFonts w:ascii="Times New Roman" w:hAnsi="Times New Roman"/>
          <w:spacing w:val="-8"/>
          <w:sz w:val="28"/>
          <w:szCs w:val="28"/>
        </w:rPr>
        <w:t xml:space="preserve">за 2015 год </w:t>
      </w:r>
      <w:r w:rsidRPr="00FD6CE1">
        <w:rPr>
          <w:rFonts w:ascii="Times New Roman" w:hAnsi="Times New Roman"/>
          <w:spacing w:val="-5"/>
          <w:sz w:val="28"/>
          <w:szCs w:val="28"/>
        </w:rPr>
        <w:t xml:space="preserve">в сумме 4 622,0 млн. рублей, что составило 99,05 </w:t>
      </w:r>
      <w:r>
        <w:rPr>
          <w:rFonts w:ascii="Times New Roman" w:hAnsi="Times New Roman"/>
          <w:spacing w:val="-5"/>
          <w:sz w:val="28"/>
          <w:szCs w:val="28"/>
        </w:rPr>
        <w:t xml:space="preserve">процентов </w:t>
      </w:r>
      <w:r w:rsidRPr="00FD6CE1">
        <w:rPr>
          <w:rFonts w:ascii="Times New Roman" w:hAnsi="Times New Roman"/>
          <w:spacing w:val="-5"/>
          <w:sz w:val="28"/>
          <w:szCs w:val="28"/>
        </w:rPr>
        <w:t xml:space="preserve">прогнозного объема поступлений. Объем поступлений налоговых и неналоговых доходов 2015 года </w:t>
      </w:r>
      <w:r w:rsidRPr="00FD6CE1">
        <w:rPr>
          <w:rFonts w:ascii="Times New Roman" w:hAnsi="Times New Roman"/>
          <w:spacing w:val="-9"/>
          <w:sz w:val="28"/>
          <w:szCs w:val="28"/>
        </w:rPr>
        <w:t xml:space="preserve">по сравнению с 2014 годом увеличился на 7,18 </w:t>
      </w:r>
      <w:r>
        <w:rPr>
          <w:rFonts w:ascii="Times New Roman" w:hAnsi="Times New Roman"/>
          <w:spacing w:val="-9"/>
          <w:sz w:val="28"/>
          <w:szCs w:val="28"/>
        </w:rPr>
        <w:t>процентов</w:t>
      </w:r>
      <w:r w:rsidRPr="00FD6CE1">
        <w:rPr>
          <w:rFonts w:ascii="Times New Roman" w:hAnsi="Times New Roman"/>
          <w:spacing w:val="-9"/>
          <w:sz w:val="28"/>
          <w:szCs w:val="28"/>
        </w:rPr>
        <w:t xml:space="preserve">. </w:t>
      </w:r>
    </w:p>
    <w:p w:rsidR="000A1AEC" w:rsidRPr="00FD6CE1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Налоговые и неналоговые доходы </w:t>
      </w:r>
      <w:r>
        <w:rPr>
          <w:rFonts w:ascii="Times New Roman" w:hAnsi="Times New Roman"/>
          <w:sz w:val="28"/>
          <w:szCs w:val="28"/>
        </w:rPr>
        <w:t>составляют</w:t>
      </w:r>
      <w:r w:rsidRPr="00FD6CE1">
        <w:rPr>
          <w:rFonts w:ascii="Times New Roman" w:hAnsi="Times New Roman"/>
          <w:sz w:val="28"/>
          <w:szCs w:val="28"/>
        </w:rPr>
        <w:t xml:space="preserve"> 40,3 </w:t>
      </w:r>
      <w:r>
        <w:rPr>
          <w:rFonts w:ascii="Times New Roman" w:hAnsi="Times New Roman"/>
          <w:sz w:val="28"/>
          <w:szCs w:val="28"/>
        </w:rPr>
        <w:t xml:space="preserve">процентов </w:t>
      </w:r>
      <w:r w:rsidRPr="00FD6CE1">
        <w:rPr>
          <w:rFonts w:ascii="Times New Roman" w:hAnsi="Times New Roman"/>
          <w:sz w:val="28"/>
          <w:szCs w:val="28"/>
        </w:rPr>
        <w:t>всего бюджета городского округа в 2015 году.</w:t>
      </w:r>
    </w:p>
    <w:p w:rsidR="000A1AEC" w:rsidRPr="00FD6CE1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Главные </w:t>
      </w:r>
      <w:proofErr w:type="spellStart"/>
      <w:r w:rsidRPr="00FD6CE1">
        <w:rPr>
          <w:rFonts w:ascii="Times New Roman" w:hAnsi="Times New Roman"/>
          <w:sz w:val="28"/>
          <w:szCs w:val="28"/>
        </w:rPr>
        <w:t>бюджетообразующие</w:t>
      </w:r>
      <w:proofErr w:type="spellEnd"/>
      <w:r w:rsidRPr="00FD6CE1">
        <w:rPr>
          <w:rFonts w:ascii="Times New Roman" w:hAnsi="Times New Roman"/>
          <w:sz w:val="28"/>
          <w:szCs w:val="28"/>
        </w:rPr>
        <w:t xml:space="preserve"> виды налогов в удельном весе налоговых поступлений в 2015 году являются: </w:t>
      </w:r>
    </w:p>
    <w:p w:rsidR="000A1AEC" w:rsidRPr="00FD6CE1" w:rsidRDefault="000A1AEC" w:rsidP="000A1AEC">
      <w:pPr>
        <w:pStyle w:val="af"/>
        <w:numPr>
          <w:ilvl w:val="0"/>
          <w:numId w:val="22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налог на доходы физических лиц – 68,87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 xml:space="preserve">; </w:t>
      </w:r>
    </w:p>
    <w:p w:rsidR="000A1AEC" w:rsidRPr="00FD6CE1" w:rsidRDefault="000A1AEC" w:rsidP="000A1AEC">
      <w:pPr>
        <w:pStyle w:val="af"/>
        <w:numPr>
          <w:ilvl w:val="0"/>
          <w:numId w:val="22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налог на прибыль организаций – 9,14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>;</w:t>
      </w:r>
    </w:p>
    <w:p w:rsidR="000A1AEC" w:rsidRPr="00FD6CE1" w:rsidRDefault="000A1AEC" w:rsidP="000A1AEC">
      <w:pPr>
        <w:pStyle w:val="af"/>
        <w:numPr>
          <w:ilvl w:val="0"/>
          <w:numId w:val="22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единый налог на вмененный доход для отдельных видов деятельности – 8,74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 xml:space="preserve">; </w:t>
      </w:r>
    </w:p>
    <w:p w:rsidR="000A1AEC" w:rsidRPr="00FD6CE1" w:rsidRDefault="000A1AEC" w:rsidP="000A1AEC">
      <w:pPr>
        <w:pStyle w:val="af"/>
        <w:numPr>
          <w:ilvl w:val="0"/>
          <w:numId w:val="22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земельный налог – 4,63 </w:t>
      </w:r>
      <w:r>
        <w:rPr>
          <w:rFonts w:ascii="Times New Roman" w:hAnsi="Times New Roman"/>
          <w:sz w:val="28"/>
          <w:szCs w:val="28"/>
        </w:rPr>
        <w:t>процента</w:t>
      </w:r>
      <w:r w:rsidRPr="00FD6CE1">
        <w:rPr>
          <w:rFonts w:ascii="Times New Roman" w:hAnsi="Times New Roman"/>
          <w:sz w:val="28"/>
          <w:szCs w:val="28"/>
        </w:rPr>
        <w:t xml:space="preserve">; </w:t>
      </w:r>
    </w:p>
    <w:p w:rsidR="000A1AEC" w:rsidRPr="00FD6CE1" w:rsidRDefault="000A1AEC" w:rsidP="000A1AEC">
      <w:pPr>
        <w:pStyle w:val="af"/>
        <w:numPr>
          <w:ilvl w:val="0"/>
          <w:numId w:val="22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налог, взимаемый в связи с применением упрощенной системы налогообложения – 4,28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>;</w:t>
      </w:r>
    </w:p>
    <w:p w:rsidR="000A1AEC" w:rsidRPr="00FD6CE1" w:rsidRDefault="000A1AEC" w:rsidP="000A1AEC">
      <w:pPr>
        <w:pStyle w:val="af"/>
        <w:numPr>
          <w:ilvl w:val="0"/>
          <w:numId w:val="22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прочие налоговые доходы – 4,17 </w:t>
      </w:r>
      <w:r>
        <w:rPr>
          <w:rFonts w:ascii="Times New Roman" w:hAnsi="Times New Roman"/>
          <w:sz w:val="28"/>
          <w:szCs w:val="28"/>
        </w:rPr>
        <w:t>процентов.</w:t>
      </w:r>
    </w:p>
    <w:p w:rsidR="000A1AEC" w:rsidRPr="00FD6CE1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Наибольшими темпами к предыдущему году росли поступления по таким  налогам как:</w:t>
      </w:r>
    </w:p>
    <w:p w:rsidR="000A1AEC" w:rsidRPr="00FD6CE1" w:rsidRDefault="000A1AEC" w:rsidP="000A1AEC">
      <w:pPr>
        <w:numPr>
          <w:ilvl w:val="0"/>
          <w:numId w:val="11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lastRenderedPageBreak/>
        <w:t xml:space="preserve">Единый сельскохозяйственный налог – в 1,2 раза. </w:t>
      </w:r>
      <w:proofErr w:type="gramStart"/>
      <w:r w:rsidRPr="00FD6CE1">
        <w:rPr>
          <w:rFonts w:ascii="Times New Roman" w:hAnsi="Times New Roman"/>
          <w:sz w:val="28"/>
          <w:szCs w:val="28"/>
        </w:rPr>
        <w:t xml:space="preserve">Учитывая, что все юридические лица (35 организаций и 13 индивидуальных предпринимателей), применяющие единый сельскохозяйственный налог, относятся к числу предприятий рыбной отрасли, рост поступлений в доход бюджета от уплаты данного налога связан с увеличением добытой </w:t>
      </w:r>
      <w:proofErr w:type="spellStart"/>
      <w:r w:rsidRPr="00FD6CE1">
        <w:rPr>
          <w:rFonts w:ascii="Times New Roman" w:hAnsi="Times New Roman"/>
          <w:sz w:val="28"/>
          <w:szCs w:val="28"/>
        </w:rPr>
        <w:t>рыбопродукции</w:t>
      </w:r>
      <w:proofErr w:type="spellEnd"/>
      <w:r w:rsidRPr="00FD6CE1">
        <w:rPr>
          <w:rFonts w:ascii="Times New Roman" w:hAnsi="Times New Roman"/>
          <w:sz w:val="28"/>
          <w:szCs w:val="28"/>
        </w:rPr>
        <w:t xml:space="preserve"> (увеличение квот на вылов красной рыбы) и увеличением курсовой разницы при реализации на экспорт выпускаемой продукции.</w:t>
      </w:r>
      <w:proofErr w:type="gramEnd"/>
    </w:p>
    <w:p w:rsidR="000A1AEC" w:rsidRPr="00FD6CE1" w:rsidRDefault="000A1AEC" w:rsidP="000A1AEC">
      <w:pPr>
        <w:pStyle w:val="af"/>
        <w:numPr>
          <w:ilvl w:val="0"/>
          <w:numId w:val="11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Е</w:t>
      </w:r>
      <w:r w:rsidRPr="00FD6CE1">
        <w:rPr>
          <w:rFonts w:ascii="Times New Roman" w:hAnsi="Times New Roman"/>
          <w:bCs/>
          <w:spacing w:val="8"/>
          <w:sz w:val="28"/>
          <w:szCs w:val="28"/>
        </w:rPr>
        <w:t xml:space="preserve">диный налог, </w:t>
      </w:r>
      <w:r w:rsidRPr="00FD6CE1">
        <w:rPr>
          <w:rFonts w:ascii="Times New Roman" w:hAnsi="Times New Roman"/>
          <w:spacing w:val="8"/>
          <w:sz w:val="28"/>
          <w:szCs w:val="28"/>
        </w:rPr>
        <w:t>взимаемый в связи с применением упрощенной системы</w:t>
      </w:r>
      <w:r w:rsidRPr="00FD6CE1">
        <w:rPr>
          <w:rFonts w:ascii="Times New Roman" w:hAnsi="Times New Roman"/>
          <w:spacing w:val="7"/>
          <w:sz w:val="28"/>
          <w:szCs w:val="28"/>
        </w:rPr>
        <w:t xml:space="preserve"> налогообложения – в 1,14 раза. Рост поступлений доходов в бюджет городского округа по </w:t>
      </w:r>
      <w:proofErr w:type="gramStart"/>
      <w:r w:rsidRPr="00FD6CE1">
        <w:rPr>
          <w:rFonts w:ascii="Times New Roman" w:hAnsi="Times New Roman"/>
          <w:spacing w:val="7"/>
          <w:sz w:val="28"/>
          <w:szCs w:val="28"/>
        </w:rPr>
        <w:t>данному</w:t>
      </w:r>
      <w:proofErr w:type="gramEnd"/>
      <w:r w:rsidRPr="00FD6CE1">
        <w:rPr>
          <w:rFonts w:ascii="Times New Roman" w:hAnsi="Times New Roman"/>
          <w:spacing w:val="7"/>
          <w:sz w:val="28"/>
          <w:szCs w:val="28"/>
        </w:rPr>
        <w:t xml:space="preserve"> вида налога связан с увеличением количества налогоплательщиков как вновь зарегистрированных, так и перешедших с иных режимов налогообложения.</w:t>
      </w:r>
    </w:p>
    <w:p w:rsidR="000A1AEC" w:rsidRPr="00FD6CE1" w:rsidRDefault="000A1AEC" w:rsidP="000A1AEC">
      <w:pPr>
        <w:pStyle w:val="af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pacing w:val="5"/>
          <w:sz w:val="28"/>
          <w:szCs w:val="28"/>
        </w:rPr>
        <w:t xml:space="preserve">Налог на прибыль </w:t>
      </w:r>
      <w:r w:rsidRPr="00FD6CE1">
        <w:rPr>
          <w:rFonts w:ascii="Times New Roman" w:hAnsi="Times New Roman"/>
          <w:sz w:val="28"/>
          <w:szCs w:val="28"/>
        </w:rPr>
        <w:t xml:space="preserve">организаций – в 1,13 раза. </w:t>
      </w:r>
      <w:proofErr w:type="gramStart"/>
      <w:r w:rsidRPr="00FD6CE1">
        <w:rPr>
          <w:rFonts w:ascii="Times New Roman" w:hAnsi="Times New Roman"/>
          <w:sz w:val="28"/>
          <w:szCs w:val="28"/>
        </w:rPr>
        <w:t xml:space="preserve">Рост обеспечен результатом деятельности предприятий рыбной отрасли (рост налоговой базы для исчисления налога на прибыль организаций в 2015 году по отношению к 2014 году составил </w:t>
      </w:r>
      <w:r w:rsidRPr="00F31838">
        <w:rPr>
          <w:rFonts w:ascii="Times New Roman" w:hAnsi="Times New Roman"/>
          <w:sz w:val="28"/>
          <w:szCs w:val="28"/>
        </w:rPr>
        <w:t>662,78 процентов</w:t>
      </w:r>
      <w:r w:rsidRPr="00FD6CE1">
        <w:rPr>
          <w:rFonts w:ascii="Times New Roman" w:hAnsi="Times New Roman"/>
          <w:sz w:val="28"/>
          <w:szCs w:val="28"/>
        </w:rPr>
        <w:t>).</w:t>
      </w:r>
      <w:proofErr w:type="gramEnd"/>
    </w:p>
    <w:p w:rsidR="000A1AEC" w:rsidRPr="00FD6CE1" w:rsidRDefault="000A1AEC" w:rsidP="000A1AEC">
      <w:pPr>
        <w:pStyle w:val="af"/>
        <w:numPr>
          <w:ilvl w:val="0"/>
          <w:numId w:val="11"/>
        </w:numPr>
        <w:tabs>
          <w:tab w:val="left" w:pos="1418"/>
        </w:tabs>
        <w:spacing w:after="0" w:line="233" w:lineRule="auto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Налог, взимаемый в связи с применением патентной системы налогообложения – в 1,12 раза. Рост поступлений по данному виду налога связан с увеличением числа плательщиков патентной системы (в 2014 году – 180 налогоплательщиков, 2015 году – 185 налогоплательщиков).</w:t>
      </w:r>
    </w:p>
    <w:p w:rsidR="000A1AEC" w:rsidRPr="00FD6CE1" w:rsidRDefault="000A1AEC" w:rsidP="000A1AEC">
      <w:pPr>
        <w:pStyle w:val="af"/>
        <w:numPr>
          <w:ilvl w:val="0"/>
          <w:numId w:val="11"/>
        </w:numPr>
        <w:tabs>
          <w:tab w:val="left" w:pos="1418"/>
        </w:tabs>
        <w:spacing w:after="200"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Поступления НДФЛ – в 1,12 раза. Рост обеспечен проведением следующих мероприятий: </w:t>
      </w:r>
    </w:p>
    <w:p w:rsidR="000A1AEC" w:rsidRPr="00FD6CE1" w:rsidRDefault="000A1AEC" w:rsidP="000A1AEC">
      <w:pPr>
        <w:pStyle w:val="af"/>
        <w:tabs>
          <w:tab w:val="left" w:pos="1418"/>
        </w:tabs>
        <w:ind w:left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– декларационная компания за 2014-2015 годы, позволившая увеличить доходы бюджета городского округа на 47,1 млн. рублей;</w:t>
      </w:r>
    </w:p>
    <w:p w:rsidR="000A1AEC" w:rsidRPr="00FD6CE1" w:rsidRDefault="000A1AEC" w:rsidP="000A1AEC">
      <w:pPr>
        <w:pStyle w:val="af"/>
        <w:tabs>
          <w:tab w:val="left" w:pos="1418"/>
        </w:tabs>
        <w:spacing w:after="0"/>
        <w:ind w:left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–  уплата задолженности по НДФЛ от организации, находящейся в процедуре банкротства ГУП «</w:t>
      </w:r>
      <w:proofErr w:type="spellStart"/>
      <w:r w:rsidRPr="00FD6CE1">
        <w:rPr>
          <w:rFonts w:ascii="Times New Roman" w:hAnsi="Times New Roman"/>
          <w:sz w:val="28"/>
          <w:szCs w:val="28"/>
        </w:rPr>
        <w:t>Камчатскоммунэнерго</w:t>
      </w:r>
      <w:proofErr w:type="spellEnd"/>
      <w:r w:rsidRPr="00FD6CE1">
        <w:rPr>
          <w:rFonts w:ascii="Times New Roman" w:hAnsi="Times New Roman"/>
          <w:sz w:val="28"/>
          <w:szCs w:val="28"/>
        </w:rPr>
        <w:t>», увеличив до</w:t>
      </w:r>
      <w:r>
        <w:rPr>
          <w:rFonts w:ascii="Times New Roman" w:hAnsi="Times New Roman"/>
          <w:sz w:val="28"/>
          <w:szCs w:val="28"/>
        </w:rPr>
        <w:t>х</w:t>
      </w:r>
      <w:r w:rsidRPr="00FD6CE1">
        <w:rPr>
          <w:rFonts w:ascii="Times New Roman" w:hAnsi="Times New Roman"/>
          <w:sz w:val="28"/>
          <w:szCs w:val="28"/>
        </w:rPr>
        <w:t>од бюджета городского округа на 111,8 млн. рублей;</w:t>
      </w:r>
    </w:p>
    <w:p w:rsidR="000A1AEC" w:rsidRPr="00FD6CE1" w:rsidRDefault="000A1AEC" w:rsidP="000A1AEC">
      <w:pPr>
        <w:pStyle w:val="af"/>
        <w:tabs>
          <w:tab w:val="left" w:pos="1418"/>
        </w:tabs>
        <w:spacing w:after="0"/>
        <w:ind w:left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– поступления в бюджет городского округа в 2015 году НДФЛ с дивидендов в размере 104,0 млн. рублей.</w:t>
      </w:r>
    </w:p>
    <w:p w:rsidR="000A1AEC" w:rsidRPr="00FD6CE1" w:rsidRDefault="000A1AEC" w:rsidP="000A1AEC">
      <w:pPr>
        <w:pStyle w:val="af"/>
        <w:numPr>
          <w:ilvl w:val="0"/>
          <w:numId w:val="11"/>
        </w:numPr>
        <w:tabs>
          <w:tab w:val="left" w:pos="1418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Налог на имущество физических лиц – в 1,09 раза</w:t>
      </w:r>
      <w:r w:rsidRPr="00FD6CE1">
        <w:rPr>
          <w:rFonts w:ascii="Times New Roman" w:hAnsi="Times New Roman"/>
          <w:spacing w:val="7"/>
          <w:sz w:val="28"/>
          <w:szCs w:val="28"/>
        </w:rPr>
        <w:t xml:space="preserve">. </w:t>
      </w:r>
      <w:r w:rsidRPr="00FD6CE1">
        <w:rPr>
          <w:rFonts w:ascii="Times New Roman" w:hAnsi="Times New Roman"/>
          <w:sz w:val="28"/>
          <w:szCs w:val="28"/>
        </w:rPr>
        <w:t>Темп роста налога обеспечен своевременным уведомлением налогоплательщиков о необходимости исполнения обязанности и погашени</w:t>
      </w:r>
      <w:r>
        <w:rPr>
          <w:rFonts w:ascii="Times New Roman" w:hAnsi="Times New Roman"/>
          <w:sz w:val="28"/>
          <w:szCs w:val="28"/>
        </w:rPr>
        <w:t>е</w:t>
      </w:r>
      <w:r w:rsidRPr="00FD6CE1">
        <w:rPr>
          <w:rFonts w:ascii="Times New Roman" w:hAnsi="Times New Roman"/>
          <w:sz w:val="28"/>
          <w:szCs w:val="28"/>
        </w:rPr>
        <w:t>м задолженности предыдущих налоговых периодов.</w:t>
      </w:r>
    </w:p>
    <w:p w:rsidR="000A1AEC" w:rsidRPr="00FD6CE1" w:rsidRDefault="000A1AEC" w:rsidP="000A1AEC">
      <w:pPr>
        <w:numPr>
          <w:ilvl w:val="0"/>
          <w:numId w:val="11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pacing w:val="5"/>
          <w:sz w:val="28"/>
          <w:szCs w:val="28"/>
        </w:rPr>
        <w:t>Единый налог на вменённый доход</w:t>
      </w:r>
      <w:r w:rsidRPr="00FD6CE1">
        <w:rPr>
          <w:rFonts w:ascii="Times New Roman" w:hAnsi="Times New Roman"/>
          <w:spacing w:val="16"/>
          <w:sz w:val="28"/>
          <w:szCs w:val="28"/>
        </w:rPr>
        <w:t xml:space="preserve"> – в 1,05 раза</w:t>
      </w:r>
      <w:r w:rsidRPr="00FD6CE1">
        <w:rPr>
          <w:rFonts w:ascii="Times New Roman" w:hAnsi="Times New Roman"/>
          <w:spacing w:val="7"/>
          <w:sz w:val="28"/>
          <w:szCs w:val="28"/>
        </w:rPr>
        <w:t xml:space="preserve">. </w:t>
      </w:r>
      <w:proofErr w:type="gramStart"/>
      <w:r w:rsidRPr="00FD6CE1">
        <w:rPr>
          <w:rFonts w:ascii="Times New Roman" w:hAnsi="Times New Roman"/>
          <w:spacing w:val="7"/>
          <w:sz w:val="28"/>
          <w:szCs w:val="28"/>
        </w:rPr>
        <w:t>Несмотря на снижение количества налогоплательщиков ЕНВД по итогам 2015 года, произошло увеличение налоговой базы на 3</w:t>
      </w:r>
      <w:r>
        <w:rPr>
          <w:rFonts w:ascii="Times New Roman" w:hAnsi="Times New Roman"/>
          <w:spacing w:val="7"/>
          <w:sz w:val="28"/>
          <w:szCs w:val="28"/>
        </w:rPr>
        <w:t>процента</w:t>
      </w:r>
      <w:r w:rsidRPr="00FD6CE1">
        <w:rPr>
          <w:rFonts w:ascii="Times New Roman" w:hAnsi="Times New Roman"/>
          <w:spacing w:val="7"/>
          <w:sz w:val="28"/>
          <w:szCs w:val="28"/>
        </w:rPr>
        <w:t xml:space="preserve"> (на 3 539 мл</w:t>
      </w:r>
      <w:r>
        <w:rPr>
          <w:rFonts w:ascii="Times New Roman" w:hAnsi="Times New Roman"/>
          <w:spacing w:val="7"/>
          <w:sz w:val="28"/>
          <w:szCs w:val="28"/>
        </w:rPr>
        <w:t>н</w:t>
      </w:r>
      <w:r w:rsidRPr="00FD6CE1">
        <w:rPr>
          <w:rFonts w:ascii="Times New Roman" w:hAnsi="Times New Roman"/>
          <w:spacing w:val="7"/>
          <w:sz w:val="28"/>
          <w:szCs w:val="28"/>
        </w:rPr>
        <w:t>. рублей), и соответственно исчисленного налога, что связано только с увеличение коэффициента-дефлятора установленного на 2015 год в размере 1,798 (темп роста коэффициента-дефлятора к 2014 году составил 108</w:t>
      </w:r>
      <w:r>
        <w:rPr>
          <w:rFonts w:ascii="Times New Roman" w:hAnsi="Times New Roman"/>
          <w:spacing w:val="7"/>
          <w:sz w:val="28"/>
          <w:szCs w:val="28"/>
        </w:rPr>
        <w:t xml:space="preserve"> процентов</w:t>
      </w:r>
      <w:r w:rsidRPr="00FD6CE1">
        <w:rPr>
          <w:rFonts w:ascii="Times New Roman" w:hAnsi="Times New Roman"/>
          <w:spacing w:val="7"/>
          <w:sz w:val="28"/>
          <w:szCs w:val="28"/>
        </w:rPr>
        <w:t>.</w:t>
      </w:r>
      <w:proofErr w:type="gramEnd"/>
    </w:p>
    <w:p w:rsidR="000A1AEC" w:rsidRPr="00FD6CE1" w:rsidRDefault="000A1AEC" w:rsidP="000A1AEC">
      <w:pPr>
        <w:pStyle w:val="af"/>
        <w:spacing w:after="0"/>
        <w:ind w:left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Поступления по земельному налогу в 2015 году по сравнению с фактическим исполнением 2014 года снизились на 9,0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>. Основными причинами снижения связаны с оплатой в 2014 году налога по расчетам за 2013 год как по перв</w:t>
      </w:r>
      <w:r>
        <w:rPr>
          <w:rFonts w:ascii="Times New Roman" w:hAnsi="Times New Roman"/>
          <w:sz w:val="28"/>
          <w:szCs w:val="28"/>
        </w:rPr>
        <w:t>оначальным</w:t>
      </w:r>
      <w:r w:rsidRPr="00FD6CE1">
        <w:rPr>
          <w:rFonts w:ascii="Times New Roman" w:hAnsi="Times New Roman"/>
          <w:sz w:val="28"/>
          <w:szCs w:val="28"/>
        </w:rPr>
        <w:t xml:space="preserve">, так и по уточненным декларациям, исходя из увеличенной с 01.01.2013 кадастровой стоимости объектов. 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Сумма поступлений по оплате государственной пошлины за 2015 год снизилась на 12</w:t>
      </w:r>
      <w:r>
        <w:rPr>
          <w:rFonts w:ascii="Times New Roman" w:hAnsi="Times New Roman"/>
          <w:sz w:val="28"/>
          <w:szCs w:val="28"/>
        </w:rPr>
        <w:t xml:space="preserve"> процентов</w:t>
      </w:r>
      <w:r w:rsidRPr="00FD6CE1">
        <w:rPr>
          <w:rFonts w:ascii="Times New Roman" w:hAnsi="Times New Roman"/>
          <w:sz w:val="28"/>
          <w:szCs w:val="28"/>
        </w:rPr>
        <w:t xml:space="preserve"> по сравнению с 2014 годом. </w:t>
      </w:r>
      <w:proofErr w:type="gramStart"/>
      <w:r w:rsidRPr="00FD6CE1">
        <w:rPr>
          <w:rFonts w:ascii="Times New Roman" w:hAnsi="Times New Roman"/>
          <w:sz w:val="28"/>
          <w:szCs w:val="28"/>
        </w:rPr>
        <w:t xml:space="preserve">Снижение дохода от уплаты государственной пошлины связано с сокращением количества дел, </w:t>
      </w:r>
      <w:r w:rsidRPr="00FD6CE1">
        <w:rPr>
          <w:rFonts w:ascii="Times New Roman" w:hAnsi="Times New Roman"/>
          <w:sz w:val="28"/>
          <w:szCs w:val="28"/>
        </w:rPr>
        <w:lastRenderedPageBreak/>
        <w:t>рассматриваемых в судах общей юрисдикции, мировыми судьями и сокращением числа выданных разрешений на установку рекламных конструкций, а так же исключение из схемы размещения на территории Петропавловск-Камчатского городского округа мест для размещения рекламных конструкций (исключено 39 мест).</w:t>
      </w:r>
      <w:proofErr w:type="gramEnd"/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Удельный вес поступления налогов в бюджет городского округа в 2015 году по видам доходов в разрезе отраслей экономики: </w:t>
      </w:r>
    </w:p>
    <w:p w:rsidR="000A1AEC" w:rsidRPr="00FD6CE1" w:rsidRDefault="000A1AEC" w:rsidP="000A1AEC">
      <w:pPr>
        <w:pStyle w:val="af"/>
        <w:numPr>
          <w:ilvl w:val="0"/>
          <w:numId w:val="14"/>
        </w:numPr>
        <w:shd w:val="clear" w:color="auto" w:fill="FFFFFF"/>
        <w:spacing w:after="0" w:line="233" w:lineRule="auto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по налогу на имущество физических лиц - физические лица, не относящиеся к индивидуальным предпринимателям – 100,0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>;</w:t>
      </w:r>
    </w:p>
    <w:p w:rsidR="000A1AEC" w:rsidRPr="00FD6CE1" w:rsidRDefault="000A1AEC" w:rsidP="000A1AEC">
      <w:pPr>
        <w:pStyle w:val="af"/>
        <w:numPr>
          <w:ilvl w:val="0"/>
          <w:numId w:val="14"/>
        </w:numPr>
        <w:shd w:val="clear" w:color="auto" w:fill="FFFFFF"/>
        <w:spacing w:after="0" w:line="233" w:lineRule="auto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по единому сельскохозяйственному налогу - «Рыболовство, рыбоводство» - 95,9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>;</w:t>
      </w:r>
    </w:p>
    <w:p w:rsidR="000A1AEC" w:rsidRPr="00FD6CE1" w:rsidRDefault="000A1AEC" w:rsidP="000A1AEC">
      <w:pPr>
        <w:pStyle w:val="af"/>
        <w:numPr>
          <w:ilvl w:val="0"/>
          <w:numId w:val="14"/>
        </w:numPr>
        <w:shd w:val="clear" w:color="auto" w:fill="FFFFFF"/>
        <w:spacing w:after="0" w:line="233" w:lineRule="auto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по единому налогу на вмененный доход - «Оптовая и розничная торговля, ремонт автотранспортных средств, мотоциклов, бытовых изделий и предметов личного пользования» - 74,0</w:t>
      </w:r>
      <w:r>
        <w:rPr>
          <w:rFonts w:ascii="Times New Roman" w:hAnsi="Times New Roman"/>
          <w:sz w:val="28"/>
          <w:szCs w:val="28"/>
        </w:rPr>
        <w:t xml:space="preserve"> процента</w:t>
      </w:r>
      <w:r w:rsidRPr="00FD6CE1">
        <w:rPr>
          <w:rFonts w:ascii="Times New Roman" w:hAnsi="Times New Roman"/>
          <w:sz w:val="28"/>
          <w:szCs w:val="28"/>
        </w:rPr>
        <w:t>;</w:t>
      </w:r>
    </w:p>
    <w:p w:rsidR="000A1AEC" w:rsidRPr="00FD6CE1" w:rsidRDefault="000A1AEC" w:rsidP="000A1AEC">
      <w:pPr>
        <w:pStyle w:val="af"/>
        <w:numPr>
          <w:ilvl w:val="0"/>
          <w:numId w:val="14"/>
        </w:numPr>
        <w:shd w:val="clear" w:color="auto" w:fill="FFFFFF"/>
        <w:spacing w:after="0" w:line="233" w:lineRule="auto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по НДФЛ - в секторе «Государственное управление и обеспечение военной безопасности» - 31,3 </w:t>
      </w:r>
      <w:r>
        <w:rPr>
          <w:rFonts w:ascii="Times New Roman" w:hAnsi="Times New Roman"/>
          <w:sz w:val="28"/>
          <w:szCs w:val="28"/>
        </w:rPr>
        <w:t>процента</w:t>
      </w:r>
      <w:r w:rsidRPr="00FD6CE1">
        <w:rPr>
          <w:rFonts w:ascii="Times New Roman" w:hAnsi="Times New Roman"/>
          <w:sz w:val="28"/>
          <w:szCs w:val="28"/>
        </w:rPr>
        <w:t xml:space="preserve">; «Рыболовство, рыбоводство» - 14,7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>; «Производство и распределение электроэнергии, газа и воды» - 9,5</w:t>
      </w:r>
      <w:r>
        <w:rPr>
          <w:rFonts w:ascii="Times New Roman" w:hAnsi="Times New Roman"/>
          <w:sz w:val="28"/>
          <w:szCs w:val="28"/>
        </w:rPr>
        <w:t xml:space="preserve"> процента</w:t>
      </w:r>
      <w:r w:rsidRPr="00FD6CE1">
        <w:rPr>
          <w:rFonts w:ascii="Times New Roman" w:hAnsi="Times New Roman"/>
          <w:sz w:val="28"/>
          <w:szCs w:val="28"/>
        </w:rPr>
        <w:t>;</w:t>
      </w:r>
    </w:p>
    <w:p w:rsidR="000A1AEC" w:rsidRPr="00FD6CE1" w:rsidRDefault="000A1AEC" w:rsidP="000A1AEC">
      <w:pPr>
        <w:pStyle w:val="af"/>
        <w:numPr>
          <w:ilvl w:val="0"/>
          <w:numId w:val="14"/>
        </w:numPr>
        <w:shd w:val="clear" w:color="auto" w:fill="FFFFFF"/>
        <w:spacing w:after="0" w:line="233" w:lineRule="auto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по налогу, взимаемому в связи с применением упрощенной системы налогообложения – «Оптовая и розничная торговля, ремонт автотранспортных средств, мотоциклов, бытовых изделий и предметов личного пользования» - 25,5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 xml:space="preserve">; «Операции с недвижимым имуществом, аренда и предоставление услуг» - 24,4 </w:t>
      </w:r>
      <w:r>
        <w:rPr>
          <w:rFonts w:ascii="Times New Roman" w:hAnsi="Times New Roman"/>
          <w:sz w:val="28"/>
          <w:szCs w:val="28"/>
        </w:rPr>
        <w:t>процента</w:t>
      </w:r>
      <w:r w:rsidRPr="00FD6CE1">
        <w:rPr>
          <w:rFonts w:ascii="Times New Roman" w:hAnsi="Times New Roman"/>
          <w:sz w:val="28"/>
          <w:szCs w:val="28"/>
        </w:rPr>
        <w:t xml:space="preserve">; «Строительство» - 17,1 </w:t>
      </w:r>
      <w:r>
        <w:rPr>
          <w:rFonts w:ascii="Times New Roman" w:hAnsi="Times New Roman"/>
          <w:sz w:val="28"/>
          <w:szCs w:val="28"/>
        </w:rPr>
        <w:t>процента</w:t>
      </w:r>
      <w:r w:rsidRPr="00FD6CE1">
        <w:rPr>
          <w:rFonts w:ascii="Times New Roman" w:hAnsi="Times New Roman"/>
          <w:sz w:val="28"/>
          <w:szCs w:val="28"/>
        </w:rPr>
        <w:t>;</w:t>
      </w:r>
    </w:p>
    <w:p w:rsidR="000A1AEC" w:rsidRPr="00FD6CE1" w:rsidRDefault="000A1AEC" w:rsidP="000A1AEC">
      <w:pPr>
        <w:pStyle w:val="af"/>
        <w:numPr>
          <w:ilvl w:val="0"/>
          <w:numId w:val="14"/>
        </w:numPr>
        <w:shd w:val="clear" w:color="auto" w:fill="FFFFFF"/>
        <w:spacing w:after="0" w:line="233" w:lineRule="auto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по налогу на прибыль организаций - «Рыболовство,  рыбоводство» - 57,2 </w:t>
      </w:r>
      <w:r>
        <w:rPr>
          <w:rFonts w:ascii="Times New Roman" w:hAnsi="Times New Roman"/>
          <w:sz w:val="28"/>
          <w:szCs w:val="28"/>
        </w:rPr>
        <w:t>процента</w:t>
      </w:r>
      <w:r w:rsidRPr="00FD6CE1">
        <w:rPr>
          <w:rFonts w:ascii="Times New Roman" w:hAnsi="Times New Roman"/>
          <w:sz w:val="28"/>
          <w:szCs w:val="28"/>
        </w:rPr>
        <w:t xml:space="preserve">; «Оптовая и розничная торговля; ремонт автотранспортных средств, мотоциклов, бытовых изделий и предметов личного пользования» - 12,4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 xml:space="preserve">; «Добыча полезных ископаемых» - 8,2 </w:t>
      </w:r>
      <w:proofErr w:type="spellStart"/>
      <w:r>
        <w:rPr>
          <w:rFonts w:ascii="Times New Roman" w:hAnsi="Times New Roman"/>
          <w:sz w:val="28"/>
          <w:szCs w:val="28"/>
        </w:rPr>
        <w:t>процента</w:t>
      </w:r>
      <w:r w:rsidRPr="00FD6CE1">
        <w:rPr>
          <w:rFonts w:ascii="Times New Roman" w:hAnsi="Times New Roman"/>
          <w:sz w:val="28"/>
          <w:szCs w:val="28"/>
        </w:rPr>
        <w:t>и</w:t>
      </w:r>
      <w:proofErr w:type="spellEnd"/>
      <w:r w:rsidRPr="00FD6CE1">
        <w:rPr>
          <w:rFonts w:ascii="Times New Roman" w:hAnsi="Times New Roman"/>
          <w:sz w:val="28"/>
          <w:szCs w:val="28"/>
        </w:rPr>
        <w:t xml:space="preserve"> «Обрабатывающие производства» - 6,2 </w:t>
      </w:r>
      <w:r>
        <w:rPr>
          <w:rFonts w:ascii="Times New Roman" w:hAnsi="Times New Roman"/>
          <w:sz w:val="28"/>
          <w:szCs w:val="28"/>
        </w:rPr>
        <w:t>процента</w:t>
      </w:r>
      <w:r w:rsidRPr="00FD6CE1">
        <w:rPr>
          <w:rFonts w:ascii="Times New Roman" w:hAnsi="Times New Roman"/>
          <w:sz w:val="28"/>
          <w:szCs w:val="28"/>
        </w:rPr>
        <w:t>;</w:t>
      </w:r>
    </w:p>
    <w:p w:rsidR="000A1AEC" w:rsidRPr="00FD6CE1" w:rsidRDefault="000A1AEC" w:rsidP="000A1AEC">
      <w:pPr>
        <w:pStyle w:val="af"/>
        <w:numPr>
          <w:ilvl w:val="0"/>
          <w:numId w:val="14"/>
        </w:numPr>
        <w:shd w:val="clear" w:color="auto" w:fill="FFFFFF"/>
        <w:spacing w:after="0" w:line="233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FD6CE1">
        <w:rPr>
          <w:rFonts w:ascii="Times New Roman" w:hAnsi="Times New Roman"/>
          <w:sz w:val="28"/>
          <w:szCs w:val="28"/>
        </w:rPr>
        <w:t>налог</w:t>
      </w:r>
      <w:proofErr w:type="gramEnd"/>
      <w:r w:rsidRPr="00FD6CE1">
        <w:rPr>
          <w:rFonts w:ascii="Times New Roman" w:hAnsi="Times New Roman"/>
          <w:sz w:val="28"/>
          <w:szCs w:val="28"/>
        </w:rPr>
        <w:t xml:space="preserve"> взимаемый с применением патентной системы налогообложения - «Оптовая и розничная торговля, ремонт автотранспортных средств, мотоциклов, бытовых изделий и предметов личного пользования» - 55,4 </w:t>
      </w:r>
      <w:r>
        <w:rPr>
          <w:rFonts w:ascii="Times New Roman" w:hAnsi="Times New Roman"/>
          <w:sz w:val="28"/>
          <w:szCs w:val="28"/>
        </w:rPr>
        <w:t>процента</w:t>
      </w:r>
      <w:r w:rsidRPr="00FD6CE1">
        <w:rPr>
          <w:rFonts w:ascii="Times New Roman" w:hAnsi="Times New Roman"/>
          <w:sz w:val="28"/>
          <w:szCs w:val="28"/>
        </w:rPr>
        <w:t xml:space="preserve">; «Операции с недвижимым имуществом, аренда и предоставление услуг» - 12,2 </w:t>
      </w:r>
      <w:r>
        <w:rPr>
          <w:rFonts w:ascii="Times New Roman" w:hAnsi="Times New Roman"/>
          <w:sz w:val="28"/>
          <w:szCs w:val="28"/>
        </w:rPr>
        <w:t>процента</w:t>
      </w:r>
      <w:r w:rsidRPr="00FD6CE1">
        <w:rPr>
          <w:rFonts w:ascii="Times New Roman" w:hAnsi="Times New Roman"/>
          <w:sz w:val="28"/>
          <w:szCs w:val="28"/>
        </w:rPr>
        <w:t>; «Транспорт и связь» - 9</w:t>
      </w:r>
      <w:r>
        <w:rPr>
          <w:rFonts w:ascii="Times New Roman" w:hAnsi="Times New Roman"/>
          <w:sz w:val="28"/>
          <w:szCs w:val="28"/>
        </w:rPr>
        <w:t xml:space="preserve"> процентов</w:t>
      </w:r>
      <w:r w:rsidRPr="00FD6CE1">
        <w:rPr>
          <w:rFonts w:ascii="Times New Roman" w:hAnsi="Times New Roman"/>
          <w:sz w:val="28"/>
          <w:szCs w:val="28"/>
        </w:rPr>
        <w:t>.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Наибольшая доля общего объема налогов поступивших в бюджет городского округа принадлежит сфере: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- государственное управление и обеспечение военной безопасности, обязательное социальное обеспечение – 22,4 </w:t>
      </w:r>
      <w:r>
        <w:rPr>
          <w:rFonts w:ascii="Times New Roman" w:hAnsi="Times New Roman"/>
          <w:sz w:val="28"/>
          <w:szCs w:val="28"/>
        </w:rPr>
        <w:t>процента</w:t>
      </w:r>
      <w:r w:rsidRPr="00FD6CE1">
        <w:rPr>
          <w:rFonts w:ascii="Times New Roman" w:hAnsi="Times New Roman"/>
          <w:sz w:val="28"/>
          <w:szCs w:val="28"/>
        </w:rPr>
        <w:t xml:space="preserve">; 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- рыболовство, рыбоводство – 17,4 </w:t>
      </w:r>
      <w:r>
        <w:rPr>
          <w:rFonts w:ascii="Times New Roman" w:hAnsi="Times New Roman"/>
          <w:sz w:val="28"/>
          <w:szCs w:val="28"/>
        </w:rPr>
        <w:t>процента</w:t>
      </w:r>
      <w:r w:rsidRPr="00FD6CE1">
        <w:rPr>
          <w:rFonts w:ascii="Times New Roman" w:hAnsi="Times New Roman"/>
          <w:sz w:val="28"/>
          <w:szCs w:val="28"/>
        </w:rPr>
        <w:t>.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- оптовая и розничная торговля; ремонт автотранспортных средств, мотоциклов, бытовых изделий и предметов личного пользования –                       13,6</w:t>
      </w:r>
      <w:r>
        <w:rPr>
          <w:rFonts w:ascii="Times New Roman" w:hAnsi="Times New Roman"/>
          <w:sz w:val="28"/>
          <w:szCs w:val="28"/>
        </w:rPr>
        <w:t xml:space="preserve"> процентов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FD6CE1">
        <w:rPr>
          <w:rFonts w:ascii="Times New Roman" w:hAnsi="Times New Roman"/>
          <w:sz w:val="28"/>
          <w:szCs w:val="28"/>
        </w:rPr>
        <w:t>;</w:t>
      </w:r>
      <w:proofErr w:type="gramEnd"/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-  операции с недвижимым имуществом, аренда и предоставление услуг – 8,1 </w:t>
      </w:r>
      <w:r>
        <w:rPr>
          <w:rFonts w:ascii="Times New Roman" w:hAnsi="Times New Roman"/>
          <w:sz w:val="28"/>
          <w:szCs w:val="28"/>
        </w:rPr>
        <w:t>процент</w:t>
      </w:r>
      <w:r w:rsidRPr="00FD6CE1">
        <w:rPr>
          <w:rFonts w:ascii="Times New Roman" w:hAnsi="Times New Roman"/>
          <w:sz w:val="28"/>
          <w:szCs w:val="28"/>
        </w:rPr>
        <w:t>.</w:t>
      </w:r>
    </w:p>
    <w:p w:rsidR="000A1AEC" w:rsidRPr="00FD6CE1" w:rsidRDefault="000A1AEC" w:rsidP="000A1AEC">
      <w:pPr>
        <w:shd w:val="clear" w:color="auto" w:fill="FFFFFF"/>
        <w:spacing w:after="0"/>
        <w:ind w:firstLine="708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Неналоговые доходы сохраняют второстепенную роль. Их удельный вес в общей сумме налоговых и неналоговых доходов бюджета городского округа составляет 10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 xml:space="preserve">. При этом темп роста к прошлому году незначительно снизился –  на 12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 xml:space="preserve">. 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Причинами снижения поступлений в 2015 году неналоговых доходов являются: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FD6CE1">
        <w:rPr>
          <w:rFonts w:ascii="Times New Roman" w:hAnsi="Times New Roman"/>
          <w:sz w:val="28"/>
          <w:szCs w:val="28"/>
        </w:rPr>
        <w:lastRenderedPageBreak/>
        <w:t>–</w:t>
      </w:r>
      <w:r w:rsidRPr="00FD6CE1">
        <w:rPr>
          <w:rFonts w:ascii="Times New Roman" w:hAnsi="Times New Roman"/>
        </w:rPr>
        <w:t xml:space="preserve"> </w:t>
      </w:r>
      <w:r w:rsidRPr="00FD6CE1">
        <w:rPr>
          <w:rFonts w:ascii="Times New Roman" w:hAnsi="Times New Roman"/>
          <w:sz w:val="28"/>
          <w:szCs w:val="28"/>
        </w:rPr>
        <w:t>в связи с пересмотром начислений по арендной плате в сторону уменьшения в соответствии со статьей 24.18 Федерального закона от 29.07.1998 № 135-ФЗ «Об оценочной деятельности в Российской Федерации» и снижением ставок арендной платы от кадастровой стоимости земельных участков в соответствии с постановлением Правительства Камчатского края от 27.02.2009 № 96-П «Об установлении порядка определения размера арендной платы, порядка, условий и сроков внесения арендной</w:t>
      </w:r>
      <w:proofErr w:type="gramEnd"/>
      <w:r w:rsidRPr="00FD6CE1">
        <w:rPr>
          <w:rFonts w:ascii="Times New Roman" w:hAnsi="Times New Roman"/>
          <w:sz w:val="28"/>
          <w:szCs w:val="28"/>
        </w:rPr>
        <w:t xml:space="preserve"> платы за использование земельных участков государственной </w:t>
      </w:r>
      <w:proofErr w:type="gramStart"/>
      <w:r w:rsidRPr="00FD6CE1">
        <w:rPr>
          <w:rFonts w:ascii="Times New Roman" w:hAnsi="Times New Roman"/>
          <w:sz w:val="28"/>
          <w:szCs w:val="28"/>
        </w:rPr>
        <w:t>собственности</w:t>
      </w:r>
      <w:proofErr w:type="gramEnd"/>
      <w:r w:rsidRPr="00FD6CE1">
        <w:rPr>
          <w:rFonts w:ascii="Times New Roman" w:hAnsi="Times New Roman"/>
          <w:sz w:val="28"/>
          <w:szCs w:val="28"/>
        </w:rPr>
        <w:t xml:space="preserve"> на которой не разграничена и на которых расположены здания, сооружения, а также предоставлены для целей, не связанных со строительством»;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– вследствие формирования дебиторской задолженности МУП «</w:t>
      </w:r>
      <w:proofErr w:type="spellStart"/>
      <w:r w:rsidRPr="00FD6CE1">
        <w:rPr>
          <w:rFonts w:ascii="Times New Roman" w:hAnsi="Times New Roman"/>
          <w:sz w:val="28"/>
          <w:szCs w:val="28"/>
        </w:rPr>
        <w:t>Спецтранс</w:t>
      </w:r>
      <w:proofErr w:type="spellEnd"/>
      <w:r w:rsidRPr="00FD6CE1">
        <w:rPr>
          <w:rFonts w:ascii="Times New Roman" w:hAnsi="Times New Roman"/>
          <w:sz w:val="28"/>
          <w:szCs w:val="28"/>
        </w:rPr>
        <w:t>» в связи со сложной финансовой ситуацией предприятия, сложившейся в результате неплатежеспособности в 2014-2015 годах заказчиков за оказанные услуги по вывозу твердых бытовых и крупногабаритных отходов;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– снижение поступлений </w:t>
      </w:r>
      <w:proofErr w:type="gramStart"/>
      <w:r w:rsidRPr="00FD6CE1">
        <w:rPr>
          <w:rFonts w:ascii="Times New Roman" w:hAnsi="Times New Roman"/>
          <w:sz w:val="28"/>
          <w:szCs w:val="28"/>
        </w:rPr>
        <w:t>за наем жилых помещений в связи с неплатежеспособностью населения в виду</w:t>
      </w:r>
      <w:proofErr w:type="gramEnd"/>
      <w:r w:rsidRPr="00FD6CE1">
        <w:rPr>
          <w:rFonts w:ascii="Times New Roman" w:hAnsi="Times New Roman"/>
          <w:sz w:val="28"/>
          <w:szCs w:val="28"/>
        </w:rPr>
        <w:t xml:space="preserve"> сложившейся экономической ситуацией;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– несвоевременная оплата по договорам аренды муниципального имущества;</w:t>
      </w:r>
    </w:p>
    <w:p w:rsidR="000A1AEC" w:rsidRPr="00FD6CE1" w:rsidRDefault="000A1AEC" w:rsidP="000A1AEC">
      <w:pPr>
        <w:pStyle w:val="ConsPlusNormal"/>
        <w:rPr>
          <w:b/>
        </w:rPr>
      </w:pPr>
      <w:proofErr w:type="gramStart"/>
      <w:r w:rsidRPr="00FD6CE1">
        <w:t>Увеличение в 2015 году в сравнении с 2014 годом в 2,2 раза или на 16,48 млн. рублей от платежей за пользование природными ресурсами, связанно с поступлением в бюджет городского округа платы за негативное воздействие на окружающую среду в счет погашения задолженности прошлых лет от МУП «Петропавловский водоканал».</w:t>
      </w:r>
      <w:proofErr w:type="gramEnd"/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 xml:space="preserve">Увеличение произошло по доходам от продажи квартир находящихся в собственности городского округа  на 1,68 млн. рублей, что в сравнении с 2014 годом больше в 11,5 раз. </w:t>
      </w:r>
      <w:proofErr w:type="gramStart"/>
      <w:r w:rsidRPr="00FD6CE1">
        <w:t>Рост связан с исполнением обязательств покупателями по уплате выкупной цены по договорам купли-продажи квартир в ускоренный срок и фактическим поступлением денежных средств в последние дни декабря 2015 года.</w:t>
      </w:r>
      <w:proofErr w:type="gramEnd"/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>Также, произошло увеличение поступления от использования имущества и прав, находящихся в государственной и муниципальной собственности в 1,1 раз или на 7,9 млн. рублей. Рост обусловлен передачей в конце 2015 года из государственной собственности Камчатского края в собственность городского округа объектов теплового и электрического хозяйства, находящегося в аренде Камчатскэнерго.</w:t>
      </w:r>
    </w:p>
    <w:p w:rsidR="000A1AEC" w:rsidRPr="00FD6CE1" w:rsidRDefault="000A1AEC" w:rsidP="000A1AEC">
      <w:pPr>
        <w:pStyle w:val="ConsPlusNormal"/>
        <w:ind w:firstLine="540"/>
      </w:pPr>
      <w:r w:rsidRPr="00FD6CE1">
        <w:t xml:space="preserve"> В общем объёме неналоговых доходов в 2015 году основную долю занимают:</w:t>
      </w:r>
    </w:p>
    <w:p w:rsidR="000A1AEC" w:rsidRPr="00FD6CE1" w:rsidRDefault="000A1AEC" w:rsidP="000A1AEC">
      <w:pPr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доходы от использования имущества, находящегося в муниципальной собственности - 60,5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 xml:space="preserve">; </w:t>
      </w:r>
    </w:p>
    <w:p w:rsidR="000A1AEC" w:rsidRPr="00FD6CE1" w:rsidRDefault="000A1AEC" w:rsidP="000A1AEC">
      <w:pPr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доля штрафов, санкций, поступлений от возмещения ущерба составила 22,0 </w:t>
      </w:r>
      <w:r>
        <w:rPr>
          <w:rFonts w:ascii="Times New Roman" w:hAnsi="Times New Roman"/>
          <w:sz w:val="28"/>
          <w:szCs w:val="28"/>
        </w:rPr>
        <w:t>процента</w:t>
      </w:r>
      <w:r w:rsidRPr="00FD6CE1">
        <w:rPr>
          <w:rFonts w:ascii="Times New Roman" w:hAnsi="Times New Roman"/>
          <w:sz w:val="28"/>
          <w:szCs w:val="28"/>
        </w:rPr>
        <w:t xml:space="preserve">; </w:t>
      </w:r>
    </w:p>
    <w:p w:rsidR="000A1AEC" w:rsidRPr="00FD6CE1" w:rsidRDefault="000A1AEC" w:rsidP="000A1AEC">
      <w:pPr>
        <w:numPr>
          <w:ilvl w:val="0"/>
          <w:numId w:val="12"/>
        </w:numPr>
        <w:shd w:val="clear" w:color="auto" w:fill="FFFFFF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 xml:space="preserve">доходы от продажи материальных и нематериальных активов составили 9,0 </w:t>
      </w:r>
      <w:r>
        <w:rPr>
          <w:rFonts w:ascii="Times New Roman" w:hAnsi="Times New Roman"/>
          <w:sz w:val="28"/>
          <w:szCs w:val="28"/>
        </w:rPr>
        <w:t>процентов</w:t>
      </w:r>
      <w:r w:rsidRPr="00FD6CE1">
        <w:rPr>
          <w:rFonts w:ascii="Times New Roman" w:hAnsi="Times New Roman"/>
          <w:sz w:val="28"/>
          <w:szCs w:val="28"/>
        </w:rPr>
        <w:t>.</w:t>
      </w:r>
    </w:p>
    <w:p w:rsidR="000A1AEC" w:rsidRDefault="000A1AEC" w:rsidP="000A1AEC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b/>
          <w:i/>
          <w:sz w:val="28"/>
          <w:szCs w:val="28"/>
        </w:rPr>
        <w:t>Доходная часть бюджета городского округа на 2016</w:t>
      </w:r>
      <w:r>
        <w:rPr>
          <w:rFonts w:ascii="Times New Roman" w:hAnsi="Times New Roman"/>
          <w:b/>
          <w:i/>
          <w:sz w:val="28"/>
          <w:szCs w:val="28"/>
        </w:rPr>
        <w:t xml:space="preserve"> год</w:t>
      </w:r>
      <w:r w:rsidRPr="00FD6CE1">
        <w:rPr>
          <w:rFonts w:ascii="Times New Roman" w:hAnsi="Times New Roman"/>
          <w:sz w:val="28"/>
          <w:szCs w:val="28"/>
        </w:rPr>
        <w:t xml:space="preserve"> сформирована с учетом изменений налогового и бюджетного законодательства Российской Федерации:</w:t>
      </w:r>
    </w:p>
    <w:p w:rsidR="00A63AFB" w:rsidRDefault="00A63AFB" w:rsidP="000A1A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A63AFB" w:rsidRPr="00FD6CE1" w:rsidRDefault="00A63AFB" w:rsidP="000A1AEC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0A1AEC" w:rsidRPr="00FD6CE1" w:rsidRDefault="000A1AEC" w:rsidP="000A1AEC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  <w:u w:val="single"/>
        </w:rPr>
      </w:pPr>
      <w:r w:rsidRPr="00FD6CE1">
        <w:rPr>
          <w:rFonts w:ascii="Times New Roman" w:hAnsi="Times New Roman"/>
          <w:sz w:val="28"/>
          <w:szCs w:val="28"/>
          <w:u w:val="single"/>
        </w:rPr>
        <w:t>1. По налогу на имущество физических лиц:</w:t>
      </w:r>
    </w:p>
    <w:p w:rsidR="000A1AEC" w:rsidRPr="00FD6CE1" w:rsidRDefault="000A1AEC" w:rsidP="000A1AEC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gramStart"/>
      <w:r w:rsidRPr="00FD6CE1">
        <w:rPr>
          <w:rFonts w:ascii="Times New Roman" w:hAnsi="Times New Roman"/>
          <w:sz w:val="28"/>
          <w:szCs w:val="28"/>
        </w:rPr>
        <w:t>В соответствии с Решением Городской Думы Петропавловск-Камчатского городского округа от 27.11.2015 № 365-нд «О налоге на имущество физических лиц на территории Петропавловск-Камчатского городского округа» с 01.01.2016 налог на имущество физических лиц на территории Петропавловск-Камчатского городского округа исчисляется исходя из кадастровой стоимости объектов налогообложения.</w:t>
      </w:r>
      <w:proofErr w:type="gramEnd"/>
    </w:p>
    <w:p w:rsidR="000A1AEC" w:rsidRPr="00FD6CE1" w:rsidRDefault="000A1AEC" w:rsidP="000A1AEC">
      <w:pPr>
        <w:pStyle w:val="ConsPlusNormal"/>
        <w:ind w:firstLine="540"/>
        <w:rPr>
          <w:b/>
          <w:u w:val="single"/>
        </w:rPr>
      </w:pPr>
      <w:r w:rsidRPr="00FD6CE1">
        <w:rPr>
          <w:u w:val="single"/>
        </w:rPr>
        <w:t>2. По земельному налогу – с 1 января 2016 года: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 xml:space="preserve">В соответствии с Решением Городской Думы </w:t>
      </w:r>
      <w:proofErr w:type="gramStart"/>
      <w:r w:rsidRPr="00FD6CE1">
        <w:t>Петропавловск-Камчатского</w:t>
      </w:r>
      <w:proofErr w:type="gramEnd"/>
      <w:r w:rsidRPr="00FD6CE1">
        <w:t xml:space="preserve"> городского округа от 18.11.2010 № 305-нд «О земельном налоге на территории Петропавловск-Камчатского городского округа»: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>1) установлена налоговая ставка в размере 0 процентов в отношении земельных участков, принадлежащих резидентам территории опережающего социально-экономического развития «Камчатка» (далее – ТОР «Камчатка»).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 xml:space="preserve">Указанные юридические лица освобождаются от уплаты земельного налога на период исполнения (осуществления) инвестиционного соглашения или соглашения о государственно-частном партнерстве в течение </w:t>
      </w:r>
      <w:r>
        <w:t xml:space="preserve">                    трех </w:t>
      </w:r>
      <w:r w:rsidRPr="00FD6CE1">
        <w:t>налоговых периодов подряд, начиная с налогового периода, следующего за налоговым периодом, в котором юридическое лицо стало обладать земельным участком на право собственности;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>2) установлена налоговая ставка в размере 0,01 процента в отношении земельных участков предоставленных для эксплуатации объектов физической культуры и спорта;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>3) установлена налоговая ставка в размере 0,2 процента в отношении земельных участков, приобретенных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>4) установлена налоговая ставка в размере 0,1 процента в отношении земельных участков, приобретенных (предоставленных) для индивидуального жилищного строительства многодетным семьям;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>5) отменена налоговая ставка в размере 0 процентов в отношении земельных участков, для строительства многоквартирных домов;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>6) отменена налоговая ставка в размере 0 процентов в отношении земельных участков, предоставленных для строительства и эксплуатации объектов дошкольного образования;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>7) отменена налоговая льгота в отношении вдов (не вступивших в повторный брак) участников Великой Отечественной войны - в отношении земельных участков, не используемых для предпринимательской деятельности;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proofErr w:type="gramStart"/>
      <w:r w:rsidRPr="00FD6CE1">
        <w:t>8) пенсионерам (женщины, достигшие 50 лет, мужчины - 55 лет), получающим пенсии, назначаемые в порядке, установленном пенсионным законодательством Российской Федерации и не используемого для предпринимательской деятельности, установлена льгота по уплате земельного налога в отношении одного земельного участка по выбору налогоплательщика, находящегося в собственности, постоянном (бессрочном) пользовании или пожизненном наследуемом владении, в виде уменьшения налоговой базы  на не облагаемую налогом сумму;</w:t>
      </w:r>
      <w:proofErr w:type="gramEnd"/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lastRenderedPageBreak/>
        <w:t>9) освобождены от уплаты налога на землю юридических лиц - в отношении земельных участков, находящихся в собственности, ранее предоставленных указанным лицам в аренду без проведения торгов в соответствии с подпунктом 3 части 2 статьи 39.6 Земельного кодекса Российской Федерации.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>Указанные юридические лица освобождаются от уплаты земельного налога на период исполнения (осуществления) инвестиционного соглашения или соглашения о государственно-частном партнерстве в течение 3 налоговых периодов подряд, начиная с налогового периода, следующего за налоговым периодом, в котором юридическое лицо стало обладать земельным участком на праве собственности;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>10) освобождена от уплаты налога на землю управляющая компания промышленного парка (далее – управляющая компания) и резиденты промышленного парка (далее - резидент) в отношении земельных участков занятых, промышленными парками.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 xml:space="preserve">Управляющая компания освобождается от уплаты земельного налога в течение 3 налоговых периодов подряд, начиная с налогового периода, следующего за налоговым периодом, в котором юридическому лицу присвоен статус управляющей компании промышленного парка в соответствии с Законом Камчатского края от 05.07.2013 № 292                              «О промышленных парках Камчатского края». 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>Резидент освобождается от уплаты земельного налога в течение 3 налоговых периодов подряд, начиная с налогового периода, следующего за налоговым периодом, в котором резидент заключил соглашение с управляющей компанией промышленного парка о ведении деятельности в промышленном парке.</w:t>
      </w:r>
    </w:p>
    <w:p w:rsidR="000A1AEC" w:rsidRPr="00FD6CE1" w:rsidRDefault="000A1AEC" w:rsidP="000A1AEC">
      <w:pPr>
        <w:pStyle w:val="ConsPlusNormal"/>
        <w:ind w:firstLine="540"/>
        <w:rPr>
          <w:b/>
          <w:u w:val="single"/>
        </w:rPr>
      </w:pPr>
      <w:r w:rsidRPr="00FD6CE1">
        <w:rPr>
          <w:u w:val="single"/>
        </w:rPr>
        <w:t>3. По единому налогу на вмененный доход:</w:t>
      </w:r>
    </w:p>
    <w:p w:rsidR="000A1AEC" w:rsidRPr="00FD6CE1" w:rsidRDefault="000A1AEC" w:rsidP="000A1AEC">
      <w:pPr>
        <w:pStyle w:val="ConsPlusNormal"/>
        <w:ind w:firstLine="540"/>
        <w:rPr>
          <w:b/>
        </w:rPr>
      </w:pPr>
      <w:r w:rsidRPr="00FD6CE1">
        <w:t>Согласно проекта Федерального закона № 947579-6 «О внесении изменений в Налоговый кодекс Российской Федерации (в связи с вступлением в силу новых редакций Общероссийских классификаторов ОКВЭД</w:t>
      </w:r>
      <w:proofErr w:type="gramStart"/>
      <w:r w:rsidRPr="00FD6CE1">
        <w:t>2</w:t>
      </w:r>
      <w:proofErr w:type="gramEnd"/>
      <w:r w:rsidRPr="00FD6CE1">
        <w:t xml:space="preserve"> и ОКПД2)» с 01.01.2018 система налогообложения в виде единого налога на вмененный доход будет применяться организациями и только в отношении бытовых услуг населению, при этом срок полной отмены применения данной системы налогообложения переносится с 01.01.2018 на 01.01.2021.</w:t>
      </w:r>
    </w:p>
    <w:p w:rsidR="000A1AEC" w:rsidRPr="00FD6CE1" w:rsidRDefault="000A1AEC" w:rsidP="000A1AEC">
      <w:pPr>
        <w:shd w:val="clear" w:color="auto" w:fill="FFFFFF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spacing w:val="5"/>
          <w:sz w:val="28"/>
          <w:szCs w:val="28"/>
        </w:rPr>
        <w:t xml:space="preserve">В 2016 году наблюдается рост поступления налоговых и неналоговых доходов. По состоянию на 01.07.2016 рост налоговых и неналоговых доходов по отношению </w:t>
      </w:r>
      <w:r w:rsidRPr="00FD6CE1">
        <w:rPr>
          <w:rFonts w:ascii="Times New Roman" w:hAnsi="Times New Roman"/>
          <w:sz w:val="28"/>
          <w:szCs w:val="28"/>
        </w:rPr>
        <w:t>к аналогичному периоду предыдущего года</w:t>
      </w:r>
      <w:r w:rsidRPr="00FD6CE1">
        <w:rPr>
          <w:rFonts w:ascii="Times New Roman" w:hAnsi="Times New Roman"/>
          <w:spacing w:val="5"/>
          <w:sz w:val="28"/>
          <w:szCs w:val="28"/>
        </w:rPr>
        <w:t xml:space="preserve"> составляет – 4,9 </w:t>
      </w:r>
      <w:r>
        <w:rPr>
          <w:rFonts w:ascii="Times New Roman" w:hAnsi="Times New Roman"/>
          <w:spacing w:val="5"/>
          <w:sz w:val="28"/>
          <w:szCs w:val="28"/>
        </w:rPr>
        <w:t>процентов</w:t>
      </w:r>
      <w:r w:rsidRPr="00FD6CE1">
        <w:rPr>
          <w:rFonts w:ascii="Times New Roman" w:hAnsi="Times New Roman"/>
          <w:spacing w:val="5"/>
          <w:sz w:val="28"/>
          <w:szCs w:val="28"/>
        </w:rPr>
        <w:t xml:space="preserve">. </w:t>
      </w:r>
    </w:p>
    <w:p w:rsidR="000A1AEC" w:rsidRPr="00FD6CE1" w:rsidRDefault="000A1AEC" w:rsidP="000A1AEC">
      <w:pPr>
        <w:shd w:val="clear" w:color="auto" w:fill="FFFFFF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spacing w:val="5"/>
          <w:sz w:val="28"/>
          <w:szCs w:val="28"/>
        </w:rPr>
        <w:t xml:space="preserve">Наибольший удельный вес в общем объеме налоговых и неналоговых поступлений составляют налоговые доходы – </w:t>
      </w:r>
      <w:r>
        <w:rPr>
          <w:rFonts w:ascii="Times New Roman" w:hAnsi="Times New Roman"/>
          <w:spacing w:val="5"/>
          <w:sz w:val="28"/>
          <w:szCs w:val="28"/>
        </w:rPr>
        <w:t xml:space="preserve">                     </w:t>
      </w:r>
      <w:r w:rsidRPr="00FD6CE1">
        <w:rPr>
          <w:rFonts w:ascii="Times New Roman" w:hAnsi="Times New Roman"/>
          <w:spacing w:val="5"/>
          <w:sz w:val="28"/>
          <w:szCs w:val="28"/>
        </w:rPr>
        <w:t xml:space="preserve">90,9 </w:t>
      </w:r>
      <w:r>
        <w:rPr>
          <w:rFonts w:ascii="Times New Roman" w:hAnsi="Times New Roman"/>
          <w:spacing w:val="5"/>
          <w:sz w:val="28"/>
          <w:szCs w:val="28"/>
        </w:rPr>
        <w:t>процентов</w:t>
      </w:r>
      <w:r w:rsidRPr="00FD6CE1">
        <w:rPr>
          <w:rFonts w:ascii="Times New Roman" w:hAnsi="Times New Roman"/>
          <w:spacing w:val="5"/>
          <w:sz w:val="28"/>
          <w:szCs w:val="28"/>
        </w:rPr>
        <w:t>.</w:t>
      </w:r>
    </w:p>
    <w:p w:rsidR="000A1AEC" w:rsidRPr="00FD6CE1" w:rsidRDefault="000A1AEC" w:rsidP="000A1AEC">
      <w:pPr>
        <w:shd w:val="clear" w:color="auto" w:fill="FFFFFF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spacing w:val="5"/>
          <w:sz w:val="28"/>
          <w:szCs w:val="28"/>
        </w:rPr>
        <w:t>По оценке первого полугодия 2016 года по отношению к аналогичному периоду прошлого года, основные темпы прироста сложились по налогам:</w:t>
      </w:r>
    </w:p>
    <w:p w:rsidR="000A1AEC" w:rsidRPr="00FD6CE1" w:rsidRDefault="000A1AEC" w:rsidP="000A1AEC">
      <w:pPr>
        <w:pStyle w:val="af"/>
        <w:numPr>
          <w:ilvl w:val="0"/>
          <w:numId w:val="23"/>
        </w:numPr>
        <w:spacing w:after="1" w:line="280" w:lineRule="atLeast"/>
        <w:ind w:left="0" w:firstLine="709"/>
        <w:rPr>
          <w:rFonts w:ascii="Times New Roman" w:hAnsi="Times New Roman"/>
          <w:spacing w:val="-1"/>
          <w:sz w:val="28"/>
          <w:szCs w:val="28"/>
        </w:rPr>
      </w:pPr>
      <w:r w:rsidRPr="00FD6CE1">
        <w:rPr>
          <w:rFonts w:ascii="Times New Roman" w:hAnsi="Times New Roman"/>
          <w:b/>
          <w:spacing w:val="5"/>
          <w:sz w:val="28"/>
          <w:szCs w:val="28"/>
        </w:rPr>
        <w:t>Единый сельскохозяйственный налог</w:t>
      </w:r>
      <w:r w:rsidRPr="00FD6CE1">
        <w:rPr>
          <w:rFonts w:ascii="Times New Roman" w:hAnsi="Times New Roman"/>
          <w:sz w:val="28"/>
          <w:szCs w:val="28"/>
        </w:rPr>
        <w:t xml:space="preserve"> </w:t>
      </w:r>
      <w:r w:rsidRPr="00FD6CE1">
        <w:rPr>
          <w:rFonts w:ascii="Times New Roman" w:hAnsi="Times New Roman"/>
          <w:spacing w:val="5"/>
          <w:sz w:val="28"/>
          <w:szCs w:val="28"/>
        </w:rPr>
        <w:t xml:space="preserve">в 4,5 раза, удельный вес в налоговых поступлениях – 8 </w:t>
      </w:r>
      <w:r>
        <w:rPr>
          <w:rFonts w:ascii="Times New Roman" w:hAnsi="Times New Roman"/>
          <w:spacing w:val="5"/>
          <w:sz w:val="28"/>
          <w:szCs w:val="28"/>
        </w:rPr>
        <w:t>процентов</w:t>
      </w:r>
      <w:r w:rsidRPr="00FD6CE1">
        <w:rPr>
          <w:rFonts w:ascii="Times New Roman" w:hAnsi="Times New Roman"/>
          <w:spacing w:val="5"/>
          <w:sz w:val="28"/>
          <w:szCs w:val="28"/>
        </w:rPr>
        <w:t>.</w:t>
      </w:r>
      <w:r w:rsidRPr="00FD6CE1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gramStart"/>
      <w:r w:rsidRPr="00FD6CE1">
        <w:rPr>
          <w:rFonts w:ascii="Times New Roman" w:hAnsi="Times New Roman"/>
          <w:spacing w:val="-1"/>
          <w:sz w:val="28"/>
          <w:szCs w:val="28"/>
        </w:rPr>
        <w:t xml:space="preserve">Высокий темп роста сумм исчисленного и уплаченного налога связан с увеличением объемов вылова биоресурсов (увеличение квот на вылов красной рыбы), и увеличением </w:t>
      </w:r>
      <w:r w:rsidRPr="00FD6CE1">
        <w:rPr>
          <w:rFonts w:ascii="Times New Roman" w:hAnsi="Times New Roman"/>
          <w:spacing w:val="-1"/>
          <w:sz w:val="28"/>
          <w:szCs w:val="28"/>
        </w:rPr>
        <w:lastRenderedPageBreak/>
        <w:t>курсовой разницы при реализации на экспорт выпускаемой продукции данной категории налогоплательщиков.</w:t>
      </w:r>
      <w:proofErr w:type="gramEnd"/>
    </w:p>
    <w:p w:rsidR="000A1AEC" w:rsidRPr="00FD6CE1" w:rsidRDefault="000A1AEC" w:rsidP="000A1AEC">
      <w:pPr>
        <w:pStyle w:val="af"/>
        <w:numPr>
          <w:ilvl w:val="0"/>
          <w:numId w:val="23"/>
        </w:numPr>
        <w:spacing w:after="1" w:line="280" w:lineRule="atLeast"/>
        <w:ind w:left="0" w:firstLine="709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b/>
          <w:spacing w:val="5"/>
          <w:sz w:val="28"/>
          <w:szCs w:val="28"/>
        </w:rPr>
        <w:t xml:space="preserve">Налог, взимаемый в связи с применением патентной системы налогообложения </w:t>
      </w:r>
      <w:r w:rsidRPr="00FD6CE1">
        <w:rPr>
          <w:rFonts w:ascii="Times New Roman" w:hAnsi="Times New Roman"/>
          <w:spacing w:val="5"/>
          <w:sz w:val="28"/>
          <w:szCs w:val="28"/>
        </w:rPr>
        <w:t xml:space="preserve">в 1,5 раза, удельный вес в налоговых поступлениях – 0,2 </w:t>
      </w:r>
      <w:r>
        <w:rPr>
          <w:rFonts w:ascii="Times New Roman" w:hAnsi="Times New Roman"/>
          <w:spacing w:val="5"/>
          <w:sz w:val="28"/>
          <w:szCs w:val="28"/>
        </w:rPr>
        <w:t>процента</w:t>
      </w:r>
      <w:r w:rsidRPr="00FD6CE1">
        <w:rPr>
          <w:rFonts w:ascii="Times New Roman" w:hAnsi="Times New Roman"/>
          <w:spacing w:val="5"/>
          <w:sz w:val="28"/>
          <w:szCs w:val="28"/>
        </w:rPr>
        <w:t xml:space="preserve">. </w:t>
      </w:r>
      <w:r w:rsidRPr="00FD6CE1">
        <w:rPr>
          <w:rFonts w:ascii="Times New Roman" w:hAnsi="Times New Roman"/>
          <w:spacing w:val="-1"/>
          <w:sz w:val="28"/>
          <w:szCs w:val="28"/>
        </w:rPr>
        <w:t xml:space="preserve">Увеличение суммы налога, подлежащей уплате в бюджет городского округа за налоговый период, </w:t>
      </w:r>
      <w:r w:rsidRPr="00FD6CE1">
        <w:rPr>
          <w:rFonts w:ascii="Times New Roman" w:hAnsi="Times New Roman"/>
          <w:spacing w:val="2"/>
          <w:sz w:val="28"/>
          <w:szCs w:val="28"/>
        </w:rPr>
        <w:t xml:space="preserve">связан с увеличением числа налогоплательщиков (за первое полугодие 2015 года состояло 185 налогоплательщиков, по состоянию на 30.05.2016 состоит на учете 285 налогоплательщиков). Преобладающим видом деятельности, по которому </w:t>
      </w:r>
      <w:r w:rsidRPr="00FD6CE1">
        <w:rPr>
          <w:rFonts w:ascii="Times New Roman" w:hAnsi="Times New Roman"/>
          <w:spacing w:val="5"/>
          <w:sz w:val="28"/>
          <w:szCs w:val="28"/>
        </w:rPr>
        <w:t>применяется патентная система налогообложения, является «Сдача в аренду (наем) жилых и нежилых помещений, дач, земельных участков, принадлежащих индивидуальному предпринимателю на праве собственности» (в 2016 году выдано 65 патентов). Так же, Законом Камчатского края от 12.10.2015 № 672 «О внесении изменений в законодательные акты Камчатского края, регулирующие отдельные вопросы в сфере применения специальных налоговых режимов» расширен перечень видов деятельности, по которым допускается применение патентной системы налогообложения.</w:t>
      </w:r>
    </w:p>
    <w:p w:rsidR="000A1AEC" w:rsidRPr="00FD6CE1" w:rsidRDefault="000A1AEC" w:rsidP="000A1AEC">
      <w:pPr>
        <w:pStyle w:val="af"/>
        <w:shd w:val="clear" w:color="auto" w:fill="FFFFFF"/>
        <w:spacing w:after="0"/>
        <w:ind w:left="0"/>
        <w:rPr>
          <w:rFonts w:ascii="Times New Roman" w:hAnsi="Times New Roman"/>
          <w:spacing w:val="-1"/>
          <w:sz w:val="28"/>
          <w:szCs w:val="28"/>
        </w:rPr>
      </w:pPr>
      <w:r w:rsidRPr="00FD6CE1">
        <w:rPr>
          <w:rFonts w:ascii="Times New Roman" w:hAnsi="Times New Roman"/>
          <w:b/>
          <w:spacing w:val="5"/>
          <w:sz w:val="28"/>
          <w:szCs w:val="28"/>
        </w:rPr>
        <w:t xml:space="preserve">3) Налог на имущество физических лиц </w:t>
      </w:r>
      <w:r w:rsidRPr="00FD6CE1">
        <w:rPr>
          <w:rFonts w:ascii="Times New Roman" w:hAnsi="Times New Roman"/>
          <w:spacing w:val="5"/>
          <w:sz w:val="28"/>
          <w:szCs w:val="28"/>
        </w:rPr>
        <w:t xml:space="preserve">– в 1,2 раза, удельный вес в налоговых поступлениях –  0,4 </w:t>
      </w:r>
      <w:r>
        <w:rPr>
          <w:rFonts w:ascii="Times New Roman" w:hAnsi="Times New Roman"/>
          <w:spacing w:val="5"/>
          <w:sz w:val="28"/>
          <w:szCs w:val="28"/>
        </w:rPr>
        <w:t>процента</w:t>
      </w:r>
      <w:r w:rsidRPr="00FD6CE1">
        <w:rPr>
          <w:rFonts w:ascii="Times New Roman" w:hAnsi="Times New Roman"/>
          <w:spacing w:val="5"/>
          <w:sz w:val="28"/>
          <w:szCs w:val="28"/>
        </w:rPr>
        <w:t>.</w:t>
      </w:r>
      <w:r w:rsidRPr="00FD6CE1">
        <w:rPr>
          <w:rFonts w:ascii="Times New Roman" w:hAnsi="Times New Roman"/>
          <w:b/>
          <w:spacing w:val="5"/>
          <w:sz w:val="28"/>
          <w:szCs w:val="28"/>
        </w:rPr>
        <w:t xml:space="preserve"> </w:t>
      </w:r>
      <w:r w:rsidRPr="00FD6CE1">
        <w:rPr>
          <w:rFonts w:ascii="Times New Roman" w:hAnsi="Times New Roman"/>
          <w:spacing w:val="5"/>
          <w:sz w:val="28"/>
          <w:szCs w:val="28"/>
        </w:rPr>
        <w:t>Р</w:t>
      </w:r>
      <w:r w:rsidRPr="00FD6CE1">
        <w:rPr>
          <w:rFonts w:ascii="Times New Roman" w:hAnsi="Times New Roman"/>
          <w:spacing w:val="-1"/>
          <w:sz w:val="28"/>
          <w:szCs w:val="28"/>
        </w:rPr>
        <w:t>ост поступлений по данному налогу обеспечен за счет:</w:t>
      </w:r>
    </w:p>
    <w:p w:rsidR="000A1AEC" w:rsidRPr="00FD6CE1" w:rsidRDefault="000A1AEC" w:rsidP="000A1AEC">
      <w:pPr>
        <w:pStyle w:val="af"/>
        <w:numPr>
          <w:ilvl w:val="0"/>
          <w:numId w:val="24"/>
        </w:numPr>
        <w:shd w:val="clear" w:color="auto" w:fill="FFFFFF"/>
        <w:spacing w:after="0"/>
        <w:ind w:left="0" w:firstLine="709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spacing w:val="5"/>
          <w:sz w:val="28"/>
          <w:szCs w:val="28"/>
        </w:rPr>
        <w:t>применения коэффициента дефлятора – 1,329;</w:t>
      </w:r>
    </w:p>
    <w:p w:rsidR="000A1AEC" w:rsidRPr="00FD6CE1" w:rsidRDefault="000A1AEC" w:rsidP="000A1AEC">
      <w:pPr>
        <w:pStyle w:val="af"/>
        <w:numPr>
          <w:ilvl w:val="0"/>
          <w:numId w:val="24"/>
        </w:numPr>
        <w:shd w:val="clear" w:color="auto" w:fill="FFFFFF"/>
        <w:spacing w:after="0"/>
        <w:ind w:left="0" w:firstLine="709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spacing w:val="5"/>
          <w:sz w:val="28"/>
          <w:szCs w:val="28"/>
        </w:rPr>
        <w:t xml:space="preserve">мероприятий, проводимых </w:t>
      </w:r>
      <w:r w:rsidRPr="00FD6CE1">
        <w:rPr>
          <w:rFonts w:ascii="Times New Roman" w:hAnsi="Times New Roman"/>
          <w:iCs/>
          <w:sz w:val="28"/>
          <w:szCs w:val="28"/>
        </w:rPr>
        <w:t xml:space="preserve">Инспекцией Федеральной налоговой службы по г. Петропавловску-Камчатскому по взысканию имеющейся задолженности. </w:t>
      </w:r>
    </w:p>
    <w:p w:rsidR="000A1AEC" w:rsidRPr="00FD6CE1" w:rsidRDefault="000A1AEC" w:rsidP="000A1AEC">
      <w:pPr>
        <w:pStyle w:val="af"/>
        <w:numPr>
          <w:ilvl w:val="0"/>
          <w:numId w:val="24"/>
        </w:numPr>
        <w:shd w:val="clear" w:color="auto" w:fill="FFFFFF"/>
        <w:spacing w:after="0"/>
        <w:ind w:left="0" w:firstLine="709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iCs/>
          <w:sz w:val="28"/>
          <w:szCs w:val="28"/>
        </w:rPr>
        <w:t xml:space="preserve">организации работ с гражданами по исполнительской дисциплине и побуждению налогоплательщиков к своевременной оплате налогов и сборов. 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b/>
          <w:spacing w:val="5"/>
          <w:sz w:val="28"/>
          <w:szCs w:val="28"/>
        </w:rPr>
        <w:t xml:space="preserve">4) НДФЛ </w:t>
      </w:r>
      <w:r w:rsidRPr="00FD6CE1">
        <w:rPr>
          <w:rFonts w:ascii="Times New Roman" w:hAnsi="Times New Roman"/>
          <w:spacing w:val="5"/>
          <w:sz w:val="28"/>
          <w:szCs w:val="28"/>
        </w:rPr>
        <w:t xml:space="preserve">– в 1,14 раза, удельный вес в налоговых поступлениях –      63 </w:t>
      </w:r>
      <w:r>
        <w:rPr>
          <w:rFonts w:ascii="Times New Roman" w:hAnsi="Times New Roman"/>
          <w:spacing w:val="5"/>
          <w:sz w:val="28"/>
          <w:szCs w:val="28"/>
        </w:rPr>
        <w:t>процентов</w:t>
      </w:r>
      <w:r w:rsidRPr="00FD6CE1">
        <w:rPr>
          <w:rFonts w:ascii="Times New Roman" w:hAnsi="Times New Roman"/>
          <w:spacing w:val="5"/>
          <w:sz w:val="28"/>
          <w:szCs w:val="28"/>
        </w:rPr>
        <w:t>.</w:t>
      </w:r>
      <w:r w:rsidRPr="00FD6CE1">
        <w:rPr>
          <w:rFonts w:ascii="Times New Roman" w:hAnsi="Times New Roman"/>
          <w:spacing w:val="-1"/>
          <w:sz w:val="28"/>
          <w:szCs w:val="28"/>
        </w:rPr>
        <w:t xml:space="preserve"> Темп роста на НДФЛ обусловлен увеличением поступлений по следующим отраслям экономики:</w:t>
      </w:r>
    </w:p>
    <w:p w:rsidR="000A1AEC" w:rsidRPr="00FD6CE1" w:rsidRDefault="000A1AEC" w:rsidP="000A1AEC">
      <w:pPr>
        <w:pStyle w:val="af"/>
        <w:numPr>
          <w:ilvl w:val="0"/>
          <w:numId w:val="17"/>
        </w:numPr>
        <w:shd w:val="clear" w:color="auto" w:fill="FFFFFF"/>
        <w:tabs>
          <w:tab w:val="left" w:pos="1276"/>
        </w:tabs>
        <w:spacing w:after="0"/>
        <w:ind w:left="0" w:firstLine="709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spacing w:val="-1"/>
          <w:sz w:val="28"/>
          <w:szCs w:val="28"/>
        </w:rPr>
        <w:t xml:space="preserve">«Рыболовство» - 105,1 млн. рублей, 119,1 </w:t>
      </w:r>
      <w:r>
        <w:rPr>
          <w:rFonts w:ascii="Times New Roman" w:hAnsi="Times New Roman"/>
          <w:spacing w:val="-1"/>
          <w:sz w:val="28"/>
          <w:szCs w:val="28"/>
        </w:rPr>
        <w:t>процентов</w:t>
      </w:r>
      <w:r w:rsidRPr="00FD6CE1">
        <w:rPr>
          <w:rFonts w:ascii="Times New Roman" w:hAnsi="Times New Roman"/>
          <w:spacing w:val="-1"/>
          <w:sz w:val="28"/>
          <w:szCs w:val="28"/>
        </w:rPr>
        <w:t xml:space="preserve"> (темп роста за счет индексации заработных плат на уровень инфляции и увеличения курсовой разницы);</w:t>
      </w:r>
    </w:p>
    <w:p w:rsidR="000A1AEC" w:rsidRPr="00FD6CE1" w:rsidRDefault="000A1AEC" w:rsidP="000A1AEC">
      <w:pPr>
        <w:pStyle w:val="af"/>
        <w:numPr>
          <w:ilvl w:val="0"/>
          <w:numId w:val="17"/>
        </w:numPr>
        <w:shd w:val="clear" w:color="auto" w:fill="FFFFFF"/>
        <w:tabs>
          <w:tab w:val="left" w:pos="1276"/>
        </w:tabs>
        <w:spacing w:after="0"/>
        <w:ind w:left="0" w:firstLine="709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spacing w:val="-1"/>
          <w:sz w:val="28"/>
          <w:szCs w:val="28"/>
        </w:rPr>
        <w:t xml:space="preserve">«ТЭК» - на 124,1 млн. рублей, 139,6 </w:t>
      </w:r>
      <w:r>
        <w:rPr>
          <w:rFonts w:ascii="Times New Roman" w:hAnsi="Times New Roman"/>
          <w:spacing w:val="-1"/>
          <w:sz w:val="28"/>
          <w:szCs w:val="28"/>
        </w:rPr>
        <w:t>процентов</w:t>
      </w:r>
      <w:r w:rsidRPr="00FD6CE1">
        <w:rPr>
          <w:rFonts w:ascii="Times New Roman" w:hAnsi="Times New Roman"/>
          <w:spacing w:val="-1"/>
          <w:sz w:val="28"/>
          <w:szCs w:val="28"/>
        </w:rPr>
        <w:t xml:space="preserve"> (темп роста обусловлен оплатой организациями задолженности за 2015 год на сумму более 75 млн. рублей);</w:t>
      </w:r>
    </w:p>
    <w:p w:rsidR="000A1AEC" w:rsidRPr="00FD6CE1" w:rsidRDefault="000A1AEC" w:rsidP="000A1AEC">
      <w:pPr>
        <w:pStyle w:val="af"/>
        <w:numPr>
          <w:ilvl w:val="0"/>
          <w:numId w:val="17"/>
        </w:numPr>
        <w:shd w:val="clear" w:color="auto" w:fill="FFFFFF"/>
        <w:tabs>
          <w:tab w:val="left" w:pos="1276"/>
        </w:tabs>
        <w:spacing w:after="0"/>
        <w:ind w:left="0" w:firstLine="709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spacing w:val="-1"/>
          <w:sz w:val="28"/>
          <w:szCs w:val="28"/>
        </w:rPr>
        <w:t xml:space="preserve">«Государственное управление и обеспечение военной безопасности» - на 101,7 млн. рублей, темп роста 107,6 </w:t>
      </w:r>
      <w:r>
        <w:rPr>
          <w:rFonts w:ascii="Times New Roman" w:hAnsi="Times New Roman"/>
          <w:spacing w:val="-1"/>
          <w:sz w:val="28"/>
          <w:szCs w:val="28"/>
        </w:rPr>
        <w:t>процентов</w:t>
      </w:r>
      <w:r w:rsidRPr="00FD6CE1">
        <w:rPr>
          <w:rFonts w:ascii="Times New Roman" w:hAnsi="Times New Roman"/>
          <w:spacing w:val="-1"/>
          <w:sz w:val="28"/>
          <w:szCs w:val="28"/>
        </w:rPr>
        <w:t xml:space="preserve"> (также  обеспечен оплатой в 1 квартале 2016 году задолженности по НДФЛ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r w:rsidRPr="00FD6CE1">
        <w:rPr>
          <w:rFonts w:ascii="Times New Roman" w:hAnsi="Times New Roman"/>
          <w:spacing w:val="-1"/>
          <w:sz w:val="28"/>
          <w:szCs w:val="28"/>
        </w:rPr>
        <w:t>за 2015 год на сумму более 70 млн. рублей);</w:t>
      </w:r>
    </w:p>
    <w:p w:rsidR="000A1AEC" w:rsidRPr="00FD6CE1" w:rsidRDefault="000A1AEC" w:rsidP="000A1AEC">
      <w:pPr>
        <w:pStyle w:val="af"/>
        <w:numPr>
          <w:ilvl w:val="0"/>
          <w:numId w:val="17"/>
        </w:numPr>
        <w:shd w:val="clear" w:color="auto" w:fill="FFFFFF"/>
        <w:tabs>
          <w:tab w:val="left" w:pos="1276"/>
        </w:tabs>
        <w:spacing w:after="0"/>
        <w:ind w:left="0" w:firstLine="709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spacing w:val="-1"/>
          <w:sz w:val="28"/>
          <w:szCs w:val="28"/>
        </w:rPr>
        <w:t xml:space="preserve">«Образование» - больше на 39,3 млн. рублей, темп роста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</w:t>
      </w:r>
      <w:r w:rsidRPr="00FD6CE1">
        <w:rPr>
          <w:rFonts w:ascii="Times New Roman" w:hAnsi="Times New Roman"/>
          <w:spacing w:val="-1"/>
          <w:sz w:val="28"/>
          <w:szCs w:val="28"/>
        </w:rPr>
        <w:t>115</w:t>
      </w:r>
      <w:r>
        <w:rPr>
          <w:rFonts w:ascii="Times New Roman" w:hAnsi="Times New Roman"/>
          <w:spacing w:val="-1"/>
          <w:sz w:val="28"/>
          <w:szCs w:val="28"/>
        </w:rPr>
        <w:t xml:space="preserve"> процентов</w:t>
      </w:r>
      <w:r w:rsidRPr="00FD6CE1">
        <w:rPr>
          <w:rFonts w:ascii="Times New Roman" w:hAnsi="Times New Roman"/>
          <w:spacing w:val="-1"/>
          <w:sz w:val="28"/>
          <w:szCs w:val="28"/>
        </w:rPr>
        <w:t>;</w:t>
      </w:r>
    </w:p>
    <w:p w:rsidR="000A1AEC" w:rsidRPr="00FD6CE1" w:rsidRDefault="000A1AEC" w:rsidP="000A1AEC">
      <w:pPr>
        <w:pStyle w:val="af"/>
        <w:numPr>
          <w:ilvl w:val="0"/>
          <w:numId w:val="17"/>
        </w:numPr>
        <w:shd w:val="clear" w:color="auto" w:fill="FFFFFF"/>
        <w:tabs>
          <w:tab w:val="left" w:pos="1276"/>
        </w:tabs>
        <w:spacing w:after="0"/>
        <w:ind w:left="0" w:firstLine="709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spacing w:val="-1"/>
          <w:sz w:val="28"/>
          <w:szCs w:val="28"/>
        </w:rPr>
        <w:t xml:space="preserve">«Здравоохранение» -   больше на 26,5 млн. рублей, темп роста 109,3 </w:t>
      </w:r>
      <w:r>
        <w:rPr>
          <w:rFonts w:ascii="Times New Roman" w:hAnsi="Times New Roman"/>
          <w:spacing w:val="-1"/>
          <w:sz w:val="28"/>
          <w:szCs w:val="28"/>
        </w:rPr>
        <w:t>процента</w:t>
      </w:r>
      <w:r w:rsidRPr="00FD6CE1">
        <w:rPr>
          <w:rFonts w:ascii="Times New Roman" w:hAnsi="Times New Roman"/>
          <w:spacing w:val="-1"/>
          <w:sz w:val="28"/>
          <w:szCs w:val="28"/>
        </w:rPr>
        <w:t>.</w:t>
      </w:r>
    </w:p>
    <w:p w:rsidR="000A1AEC" w:rsidRPr="00FD6CE1" w:rsidRDefault="000A1AEC" w:rsidP="000A1AEC">
      <w:pPr>
        <w:pStyle w:val="af"/>
        <w:numPr>
          <w:ilvl w:val="0"/>
          <w:numId w:val="12"/>
        </w:numPr>
        <w:shd w:val="clear" w:color="auto" w:fill="FFFFFF"/>
        <w:spacing w:after="0" w:line="280" w:lineRule="atLeast"/>
        <w:ind w:left="0" w:firstLine="709"/>
        <w:rPr>
          <w:rFonts w:ascii="Times New Roman" w:hAnsi="Times New Roman"/>
          <w:spacing w:val="2"/>
          <w:sz w:val="28"/>
          <w:szCs w:val="28"/>
        </w:rPr>
      </w:pPr>
      <w:r w:rsidRPr="00FD6CE1">
        <w:rPr>
          <w:rFonts w:ascii="Times New Roman" w:hAnsi="Times New Roman"/>
          <w:b/>
          <w:spacing w:val="5"/>
          <w:sz w:val="28"/>
          <w:szCs w:val="28"/>
        </w:rPr>
        <w:t>Е</w:t>
      </w:r>
      <w:r w:rsidRPr="00FD6CE1">
        <w:rPr>
          <w:rFonts w:ascii="Times New Roman" w:hAnsi="Times New Roman"/>
          <w:b/>
          <w:bCs/>
          <w:spacing w:val="8"/>
          <w:sz w:val="28"/>
          <w:szCs w:val="28"/>
        </w:rPr>
        <w:t xml:space="preserve">диный налог, </w:t>
      </w:r>
      <w:r w:rsidRPr="00FD6CE1">
        <w:rPr>
          <w:rFonts w:ascii="Times New Roman" w:hAnsi="Times New Roman"/>
          <w:b/>
          <w:spacing w:val="8"/>
          <w:sz w:val="28"/>
          <w:szCs w:val="28"/>
        </w:rPr>
        <w:t>взимаемый в связи с применением упрощенной системы</w:t>
      </w:r>
      <w:r w:rsidRPr="00FD6CE1">
        <w:rPr>
          <w:rFonts w:ascii="Times New Roman" w:hAnsi="Times New Roman"/>
          <w:b/>
          <w:spacing w:val="7"/>
          <w:sz w:val="28"/>
          <w:szCs w:val="28"/>
        </w:rPr>
        <w:t xml:space="preserve"> налогообложения </w:t>
      </w:r>
      <w:r w:rsidRPr="00FD6CE1">
        <w:rPr>
          <w:rFonts w:ascii="Times New Roman" w:hAnsi="Times New Roman"/>
          <w:spacing w:val="5"/>
          <w:sz w:val="28"/>
          <w:szCs w:val="28"/>
        </w:rPr>
        <w:t xml:space="preserve">– в 1,11 раза, удельный вес в налоговых поступлениях – 10 </w:t>
      </w:r>
      <w:r>
        <w:rPr>
          <w:rFonts w:ascii="Times New Roman" w:hAnsi="Times New Roman"/>
          <w:spacing w:val="5"/>
          <w:sz w:val="28"/>
          <w:szCs w:val="28"/>
        </w:rPr>
        <w:t>процентов</w:t>
      </w:r>
      <w:r w:rsidRPr="00FD6CE1">
        <w:rPr>
          <w:rFonts w:ascii="Times New Roman" w:hAnsi="Times New Roman"/>
          <w:spacing w:val="5"/>
          <w:sz w:val="28"/>
          <w:szCs w:val="28"/>
        </w:rPr>
        <w:t>.</w:t>
      </w:r>
      <w:r w:rsidRPr="00FD6CE1">
        <w:rPr>
          <w:rFonts w:ascii="Times New Roman" w:hAnsi="Times New Roman"/>
          <w:spacing w:val="-1"/>
          <w:sz w:val="28"/>
          <w:szCs w:val="28"/>
        </w:rPr>
        <w:t xml:space="preserve"> Положительная динамика поступлений по налогу связана с постановкой на налоговый учет новых </w:t>
      </w:r>
      <w:r w:rsidRPr="00FD6CE1">
        <w:rPr>
          <w:rFonts w:ascii="Times New Roman" w:hAnsi="Times New Roman"/>
          <w:spacing w:val="-1"/>
          <w:sz w:val="28"/>
          <w:szCs w:val="28"/>
        </w:rPr>
        <w:lastRenderedPageBreak/>
        <w:t xml:space="preserve">плательщиков данного налога и перешедших с иных режимов налогообложения, в виду удобства применения данного налога малым бизнесом.   </w:t>
      </w:r>
    </w:p>
    <w:p w:rsidR="000A1AEC" w:rsidRPr="00FD6CE1" w:rsidRDefault="000A1AEC" w:rsidP="000A1AEC">
      <w:pPr>
        <w:pStyle w:val="ConsPlusNormal"/>
        <w:rPr>
          <w:b/>
        </w:rPr>
      </w:pPr>
      <w:r w:rsidRPr="00FD6CE1">
        <w:rPr>
          <w:spacing w:val="-1"/>
        </w:rPr>
        <w:t>Основное с</w:t>
      </w:r>
      <w:r w:rsidRPr="00FD6CE1">
        <w:t>нижение темпов роста в первом полугодии 2016 года к аналогичному периоду 2015 года сложилось по следующим налогам:</w:t>
      </w:r>
    </w:p>
    <w:p w:rsidR="000A1AEC" w:rsidRPr="00FD6CE1" w:rsidRDefault="000A1AEC" w:rsidP="000A1AEC">
      <w:pPr>
        <w:pStyle w:val="ConsPlusNormal"/>
        <w:numPr>
          <w:ilvl w:val="0"/>
          <w:numId w:val="15"/>
        </w:numPr>
        <w:ind w:left="0" w:firstLine="709"/>
        <w:rPr>
          <w:b/>
        </w:rPr>
      </w:pPr>
      <w:r w:rsidRPr="00FD6CE1">
        <w:t xml:space="preserve">По единому налогу на вмененный доход на 5 </w:t>
      </w:r>
      <w:r>
        <w:t>процентов</w:t>
      </w:r>
      <w:r w:rsidRPr="00FD6CE1">
        <w:t xml:space="preserve">, удельный вес в налоговых поступлениях 8 </w:t>
      </w:r>
      <w:r>
        <w:t>процентов</w:t>
      </w:r>
      <w:r w:rsidRPr="00FD6CE1">
        <w:t xml:space="preserve">. Тенденция к уменьшению поступлений по данному налогу наблюдается в виду сокращения количества налогоплательщиков и перехода на иные системы налогообложения. В ходе анализа количественных и качественных характеристик единого налога на вмененный доход за 2012-2015 годы, а также учитывая, что коэффициент-дефлятор в 2016 году не изменялся по сравнению с 2015 года (1,798), предполагается снижение поступлений данного налога в 2016 году. </w:t>
      </w:r>
    </w:p>
    <w:p w:rsidR="000A1AEC" w:rsidRPr="00FD6CE1" w:rsidRDefault="000A1AEC" w:rsidP="000A1AEC">
      <w:pPr>
        <w:pStyle w:val="ConsPlusNormal"/>
        <w:numPr>
          <w:ilvl w:val="0"/>
          <w:numId w:val="15"/>
        </w:numPr>
        <w:ind w:left="0" w:firstLine="709"/>
        <w:rPr>
          <w:b/>
        </w:rPr>
      </w:pPr>
      <w:r w:rsidRPr="00FD6CE1">
        <w:t xml:space="preserve">По земельному налогу на 4 </w:t>
      </w:r>
      <w:r>
        <w:t>процента</w:t>
      </w:r>
      <w:r w:rsidRPr="00FD6CE1">
        <w:t xml:space="preserve">, удельный вес в налоговых поступлениях 4,2 </w:t>
      </w:r>
      <w:r>
        <w:t>процентов</w:t>
      </w:r>
      <w:r w:rsidRPr="00FD6CE1">
        <w:t xml:space="preserve">. Снижение поступлений по данному налогу </w:t>
      </w:r>
      <w:proofErr w:type="gramStart"/>
      <w:r w:rsidRPr="00FD6CE1">
        <w:t>обусловлен</w:t>
      </w:r>
      <w:proofErr w:type="gramEnd"/>
      <w:r w:rsidRPr="00FD6CE1">
        <w:t>:</w:t>
      </w:r>
    </w:p>
    <w:p w:rsidR="000A1AEC" w:rsidRPr="00FD6CE1" w:rsidRDefault="000A1AEC" w:rsidP="000A1AEC">
      <w:pPr>
        <w:spacing w:after="1" w:line="280" w:lineRule="atLeast"/>
        <w:ind w:firstLine="540"/>
        <w:rPr>
          <w:rFonts w:ascii="Times New Roman" w:hAnsi="Times New Roman"/>
          <w:sz w:val="28"/>
        </w:rPr>
      </w:pPr>
      <w:r w:rsidRPr="00FD6CE1">
        <w:rPr>
          <w:b/>
        </w:rPr>
        <w:t xml:space="preserve">- </w:t>
      </w:r>
      <w:r w:rsidRPr="00FD6CE1">
        <w:rPr>
          <w:rFonts w:ascii="Times New Roman" w:hAnsi="Times New Roman"/>
          <w:bCs/>
          <w:sz w:val="28"/>
          <w:szCs w:val="28"/>
        </w:rPr>
        <w:t xml:space="preserve">переоценкой кадастровой стоимости объектов недвижимости в соответствии с </w:t>
      </w:r>
      <w:r w:rsidRPr="00FD6CE1">
        <w:rPr>
          <w:rFonts w:ascii="Times New Roman" w:hAnsi="Times New Roman"/>
          <w:sz w:val="28"/>
        </w:rPr>
        <w:t xml:space="preserve">Распоряжение Министерства имущественных и земельных отношений Камчатского края от 29.11.2012 № 981-р «Об утверждении результатов государственной кадастровой оценки земельных участков в составе земель населенных пунктов на территории Камчатского края», что привело к </w:t>
      </w:r>
      <w:proofErr w:type="gramStart"/>
      <w:r w:rsidRPr="00FD6CE1">
        <w:rPr>
          <w:rFonts w:ascii="Times New Roman" w:hAnsi="Times New Roman"/>
          <w:sz w:val="28"/>
        </w:rPr>
        <w:t>однократному значительному</w:t>
      </w:r>
      <w:proofErr w:type="gramEnd"/>
      <w:r w:rsidRPr="00FD6CE1">
        <w:rPr>
          <w:rFonts w:ascii="Times New Roman" w:hAnsi="Times New Roman"/>
          <w:sz w:val="28"/>
        </w:rPr>
        <w:t xml:space="preserve"> росту по уплате данного налога в 2014 году за 2013 год. </w:t>
      </w:r>
    </w:p>
    <w:p w:rsidR="000A1AEC" w:rsidRPr="00FD6CE1" w:rsidRDefault="000A1AEC" w:rsidP="000A1AEC">
      <w:pPr>
        <w:spacing w:after="0" w:line="280" w:lineRule="atLeast"/>
        <w:ind w:firstLine="540"/>
        <w:rPr>
          <w:rFonts w:ascii="Times New Roman" w:hAnsi="Times New Roman"/>
          <w:sz w:val="28"/>
        </w:rPr>
      </w:pPr>
      <w:r w:rsidRPr="00FD6CE1">
        <w:rPr>
          <w:rFonts w:ascii="Times New Roman" w:hAnsi="Times New Roman"/>
          <w:sz w:val="28"/>
        </w:rPr>
        <w:t>- внесением изменения в главу 31 Налогового кодекса Российской Федерации по порядку оплаты и предоставления налоговой отчетности по земельному налогу налогоплательщиками индивидуальными предпринимателями, производившим оплату налога на землю «старым» правилам в виде авансовых платежей, при этом возникшая переплата налогоплательщиков составляет 9,6 млн. рублей.</w:t>
      </w:r>
    </w:p>
    <w:p w:rsidR="000A1AEC" w:rsidRPr="00FD6CE1" w:rsidRDefault="000A1AEC" w:rsidP="000A1AEC">
      <w:pPr>
        <w:pStyle w:val="ConsPlusNormal"/>
        <w:numPr>
          <w:ilvl w:val="0"/>
          <w:numId w:val="15"/>
        </w:numPr>
        <w:ind w:left="0" w:firstLine="709"/>
        <w:rPr>
          <w:b/>
        </w:rPr>
      </w:pPr>
      <w:r w:rsidRPr="00FD6CE1">
        <w:t xml:space="preserve">По налогу на прибыль организаций на 2 </w:t>
      </w:r>
      <w:r>
        <w:t>процента</w:t>
      </w:r>
      <w:r w:rsidRPr="00FD6CE1">
        <w:t xml:space="preserve">, удельный вес в налоговых поступлениях 10 </w:t>
      </w:r>
      <w:r>
        <w:t>процентов</w:t>
      </w:r>
      <w:r w:rsidRPr="00FD6CE1">
        <w:t xml:space="preserve">. Несмотря на снижение поступлений по данному налогу, по итогам 2016 года ожидается рост поступлений налога за счет  деятельности предприятий рыбной отрасли, предприятий, осуществляющих геодезические услуги и добычу полезных ископаемых    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pacing w:val="5"/>
          <w:sz w:val="28"/>
          <w:szCs w:val="28"/>
        </w:rPr>
      </w:pPr>
      <w:r w:rsidRPr="00FD6CE1">
        <w:rPr>
          <w:rFonts w:ascii="Times New Roman" w:hAnsi="Times New Roman"/>
          <w:spacing w:val="5"/>
          <w:sz w:val="28"/>
          <w:szCs w:val="28"/>
        </w:rPr>
        <w:t xml:space="preserve">Неналоговые доходы, сохранят свою второстепенную долю в размере 7,0 </w:t>
      </w:r>
      <w:r>
        <w:rPr>
          <w:rFonts w:ascii="Times New Roman" w:hAnsi="Times New Roman"/>
          <w:spacing w:val="5"/>
          <w:sz w:val="28"/>
          <w:szCs w:val="28"/>
        </w:rPr>
        <w:t>процентов</w:t>
      </w:r>
      <w:r w:rsidRPr="00FD6CE1">
        <w:rPr>
          <w:rFonts w:ascii="Times New Roman" w:hAnsi="Times New Roman"/>
          <w:spacing w:val="5"/>
          <w:sz w:val="28"/>
          <w:szCs w:val="28"/>
        </w:rPr>
        <w:t xml:space="preserve"> в общем объеме налоговых и неналоговых поступлений. По состоянию на 01.07.2016 темп снижения неналоговых доходов по отношению </w:t>
      </w:r>
      <w:r w:rsidRPr="00FD6CE1">
        <w:rPr>
          <w:rFonts w:ascii="Times New Roman" w:hAnsi="Times New Roman"/>
          <w:sz w:val="28"/>
          <w:szCs w:val="28"/>
        </w:rPr>
        <w:t>к аналогичному периоду предыдущего года</w:t>
      </w:r>
      <w:r w:rsidRPr="00FD6CE1">
        <w:rPr>
          <w:rFonts w:ascii="Times New Roman" w:hAnsi="Times New Roman"/>
          <w:spacing w:val="5"/>
          <w:sz w:val="28"/>
          <w:szCs w:val="28"/>
        </w:rPr>
        <w:t xml:space="preserve"> составляет – 7 </w:t>
      </w:r>
      <w:r>
        <w:rPr>
          <w:rFonts w:ascii="Times New Roman" w:hAnsi="Times New Roman"/>
          <w:spacing w:val="5"/>
          <w:sz w:val="28"/>
          <w:szCs w:val="28"/>
        </w:rPr>
        <w:t>процентов</w:t>
      </w:r>
      <w:r w:rsidRPr="00FD6CE1">
        <w:rPr>
          <w:rFonts w:ascii="Times New Roman" w:hAnsi="Times New Roman"/>
          <w:spacing w:val="5"/>
          <w:sz w:val="28"/>
          <w:szCs w:val="28"/>
        </w:rPr>
        <w:t xml:space="preserve">, в том числе по видам доходов: 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- денежных взысканий (штрафов) за правонарушения в области дорожного движения;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- поступлений в бюджет платежей за пользование природными ресурсами.</w:t>
      </w:r>
    </w:p>
    <w:p w:rsidR="000A1AEC" w:rsidRPr="00FD6CE1" w:rsidRDefault="000A1AEC" w:rsidP="000A1AEC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sz w:val="28"/>
          <w:szCs w:val="28"/>
        </w:rPr>
        <w:t>- доходы от использования имущества, находящегося в государственной и муниципальной собственности.</w:t>
      </w:r>
    </w:p>
    <w:p w:rsidR="000A1AEC" w:rsidRPr="00FD6CE1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FD6CE1">
        <w:rPr>
          <w:rFonts w:ascii="Times New Roman" w:hAnsi="Times New Roman"/>
          <w:b/>
          <w:i/>
          <w:sz w:val="28"/>
          <w:szCs w:val="28"/>
        </w:rPr>
        <w:t xml:space="preserve">Прогноз на период до 2018 года </w:t>
      </w:r>
      <w:r w:rsidRPr="00FD6CE1">
        <w:rPr>
          <w:rFonts w:ascii="Times New Roman" w:hAnsi="Times New Roman"/>
          <w:sz w:val="28"/>
          <w:szCs w:val="28"/>
        </w:rPr>
        <w:t xml:space="preserve">сформирован на основе плановых проектировок краевого бюджета и бюджета городского округа при безусловном исполнении принятых обязательств наиболее эффективным способом. </w:t>
      </w:r>
      <w:proofErr w:type="gramStart"/>
      <w:r w:rsidRPr="00FD6CE1">
        <w:rPr>
          <w:rFonts w:ascii="Times New Roman" w:hAnsi="Times New Roman"/>
          <w:sz w:val="28"/>
          <w:szCs w:val="28"/>
        </w:rPr>
        <w:t xml:space="preserve">Изменение параметров бюджета городского округа предусматривается в </w:t>
      </w:r>
      <w:r w:rsidRPr="00FD6CE1">
        <w:rPr>
          <w:rFonts w:ascii="Times New Roman" w:hAnsi="Times New Roman"/>
          <w:sz w:val="28"/>
          <w:szCs w:val="28"/>
        </w:rPr>
        <w:lastRenderedPageBreak/>
        <w:t>пределах ограничений, заданных ресурсными возможностями собственной доходной базы, объемами межбюджетных трансфертов, муниципальных и инвестиционных программ, инфляционным фактором.</w:t>
      </w:r>
      <w:proofErr w:type="gramEnd"/>
    </w:p>
    <w:p w:rsidR="000A1AEC" w:rsidRPr="00684CFC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666BBE">
        <w:rPr>
          <w:rFonts w:ascii="Times New Roman" w:hAnsi="Times New Roman"/>
          <w:sz w:val="28"/>
          <w:szCs w:val="28"/>
        </w:rPr>
        <w:t>Показатели бюджета городского округа на период 2017-2019 годов разработаны на вариантной основе, предусматривающие, в целях обеспечения сбалансированности бюджета городского округа на 2018 и 2019 годы, отсутствие роста объема дотации или финансовой помощи из краевого бюджетам и формирования предельных объемов бюджетных ассигнований на 2017-2019 годы без применения индекса-дефлятора в соответствии с основными направлениями бюджетной политики (постановление администрации Петропавловск-Камчатского городского округа Камчатского</w:t>
      </w:r>
      <w:proofErr w:type="gramEnd"/>
      <w:r w:rsidRPr="00666BBE">
        <w:rPr>
          <w:rFonts w:ascii="Times New Roman" w:hAnsi="Times New Roman"/>
          <w:sz w:val="28"/>
          <w:szCs w:val="28"/>
        </w:rPr>
        <w:t xml:space="preserve"> края от 17.10.2016 № 1999 «Об основных направлениях бюджетной политики </w:t>
      </w:r>
      <w:proofErr w:type="gramStart"/>
      <w:r w:rsidRPr="00666BBE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666BBE">
        <w:rPr>
          <w:rFonts w:ascii="Times New Roman" w:hAnsi="Times New Roman"/>
          <w:sz w:val="28"/>
          <w:szCs w:val="28"/>
        </w:rPr>
        <w:t xml:space="preserve"> городского округа на 2017 год  и плановый период 2018-2019 годов»).</w:t>
      </w:r>
      <w:r w:rsidRPr="00684CFC">
        <w:rPr>
          <w:rFonts w:ascii="Times New Roman" w:hAnsi="Times New Roman"/>
          <w:sz w:val="28"/>
          <w:szCs w:val="28"/>
        </w:rPr>
        <w:t xml:space="preserve"> </w:t>
      </w:r>
    </w:p>
    <w:p w:rsidR="000A1AEC" w:rsidRPr="00684CFC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684CFC">
        <w:rPr>
          <w:rFonts w:ascii="Times New Roman" w:hAnsi="Times New Roman"/>
          <w:b/>
          <w:i/>
          <w:sz w:val="28"/>
          <w:szCs w:val="28"/>
        </w:rPr>
        <w:t xml:space="preserve">Первый вариант </w:t>
      </w:r>
      <w:r w:rsidRPr="00684CFC">
        <w:rPr>
          <w:rFonts w:ascii="Times New Roman" w:hAnsi="Times New Roman"/>
          <w:sz w:val="28"/>
          <w:szCs w:val="28"/>
        </w:rPr>
        <w:t>сформирован на основании сведений администраторов доходов с учетом развития городского округа в условиях сложившейся экономической и внешнеполитической обстановки, при сохранении основных тенденций и динамики умеренных темпов развития экономики городского округа, с учетом:</w:t>
      </w:r>
      <w:proofErr w:type="gramEnd"/>
    </w:p>
    <w:p w:rsidR="000A1AEC" w:rsidRPr="00684CFC" w:rsidRDefault="000A1AEC" w:rsidP="000A1AEC">
      <w:pPr>
        <w:pStyle w:val="ConsPlusNormal"/>
        <w:rPr>
          <w:b/>
        </w:rPr>
      </w:pPr>
      <w:r w:rsidRPr="00684CFC">
        <w:t>- сохранения дополнительного норматива по НДФЛ на 2017-2019 годы в размере – 1,5 процента в соответствии с законом Камчатского края от 01.12.2015 № 710 «О краевом бюджете на 2016 год»;</w:t>
      </w:r>
    </w:p>
    <w:p w:rsidR="000A1AEC" w:rsidRDefault="000A1AEC" w:rsidP="000A1AEC">
      <w:pPr>
        <w:pStyle w:val="ConsPlusNormal"/>
        <w:rPr>
          <w:b/>
        </w:rPr>
      </w:pPr>
      <w:r w:rsidRPr="00684CFC">
        <w:t>- перехода с 01.01.2016 года на исчисление налога на имущество физических лиц</w:t>
      </w:r>
      <w:r>
        <w:t>,</w:t>
      </w:r>
      <w:r w:rsidRPr="00684CFC">
        <w:t xml:space="preserve"> исходя из кадастровой стоимости объектов налогообложения (Решение Городской Думы </w:t>
      </w:r>
      <w:proofErr w:type="gramStart"/>
      <w:r w:rsidRPr="00684CFC">
        <w:t>Петропавловск-Камчатского</w:t>
      </w:r>
      <w:proofErr w:type="gramEnd"/>
      <w:r w:rsidRPr="00684CFC">
        <w:t xml:space="preserve"> городского округа от 27.11.2015 № 365-нд «О налоге на имущество физических лиц на территории Петропавловск-Камчатского городского округа»)</w:t>
      </w:r>
      <w:r>
        <w:t>;</w:t>
      </w:r>
    </w:p>
    <w:p w:rsidR="000A1AEC" w:rsidRPr="00684CFC" w:rsidRDefault="000A1AEC" w:rsidP="000A1AEC">
      <w:pPr>
        <w:pStyle w:val="ConsPlusNormal"/>
        <w:rPr>
          <w:b/>
        </w:rPr>
      </w:pPr>
      <w:r>
        <w:t xml:space="preserve">- зачисления в доход бюджета </w:t>
      </w:r>
      <w:proofErr w:type="gramStart"/>
      <w:r>
        <w:t>Петропавловск-Камчатского</w:t>
      </w:r>
      <w:proofErr w:type="gramEnd"/>
      <w:r>
        <w:t xml:space="preserve"> городского округа налога на имущество организаций в размере 20,0 процентов (письмо Министерства финансов Камчатского края от 09.06.2016 № 33.02-10/2009).</w:t>
      </w:r>
    </w:p>
    <w:p w:rsidR="000A1AEC" w:rsidRPr="00684CFC" w:rsidRDefault="000A1AEC" w:rsidP="000A1AEC">
      <w:pPr>
        <w:spacing w:after="0"/>
        <w:ind w:firstLine="705"/>
        <w:rPr>
          <w:rFonts w:ascii="Times New Roman" w:hAnsi="Times New Roman"/>
          <w:sz w:val="28"/>
          <w:szCs w:val="26"/>
        </w:rPr>
      </w:pPr>
      <w:r w:rsidRPr="00684CFC">
        <w:rPr>
          <w:rFonts w:ascii="Times New Roman" w:hAnsi="Times New Roman"/>
          <w:i/>
          <w:sz w:val="28"/>
          <w:szCs w:val="28"/>
        </w:rPr>
        <w:t>Второй (консервативный) вариант</w:t>
      </w:r>
      <w:r w:rsidRPr="00684CFC">
        <w:rPr>
          <w:rFonts w:ascii="Times New Roman" w:hAnsi="Times New Roman"/>
          <w:sz w:val="28"/>
          <w:szCs w:val="28"/>
        </w:rPr>
        <w:t xml:space="preserve">: </w:t>
      </w:r>
      <w:r w:rsidRPr="00684CFC">
        <w:rPr>
          <w:rFonts w:ascii="Times New Roman" w:hAnsi="Times New Roman"/>
          <w:sz w:val="28"/>
          <w:szCs w:val="26"/>
        </w:rPr>
        <w:t>по доходам и расходам сформирован на основании:</w:t>
      </w:r>
    </w:p>
    <w:p w:rsidR="000A1AEC" w:rsidRPr="00684CFC" w:rsidRDefault="000A1AEC" w:rsidP="000A1AEC">
      <w:pPr>
        <w:spacing w:after="0"/>
        <w:ind w:firstLine="705"/>
        <w:rPr>
          <w:rFonts w:ascii="Times New Roman" w:hAnsi="Times New Roman"/>
          <w:sz w:val="28"/>
          <w:szCs w:val="26"/>
        </w:rPr>
      </w:pPr>
      <w:r w:rsidRPr="00684CFC">
        <w:rPr>
          <w:rFonts w:ascii="Times New Roman" w:hAnsi="Times New Roman"/>
          <w:sz w:val="28"/>
          <w:szCs w:val="26"/>
        </w:rPr>
        <w:t xml:space="preserve">- </w:t>
      </w:r>
      <w:r w:rsidRPr="00666BBE">
        <w:rPr>
          <w:rFonts w:ascii="Times New Roman" w:hAnsi="Times New Roman"/>
          <w:sz w:val="28"/>
          <w:szCs w:val="26"/>
        </w:rPr>
        <w:t xml:space="preserve">оценки исполнения бюджета 2016 года, произведенной с учетом исполнения бюджета по доходам по состоянию на </w:t>
      </w:r>
      <w:proofErr w:type="gramStart"/>
      <w:r w:rsidRPr="00666BBE">
        <w:rPr>
          <w:rFonts w:ascii="Times New Roman" w:hAnsi="Times New Roman"/>
          <w:sz w:val="28"/>
          <w:szCs w:val="26"/>
        </w:rPr>
        <w:t>01.10.2016</w:t>
      </w:r>
      <w:proofErr w:type="gramEnd"/>
      <w:r w:rsidRPr="00666BBE">
        <w:rPr>
          <w:rFonts w:ascii="Times New Roman" w:hAnsi="Times New Roman"/>
          <w:sz w:val="28"/>
          <w:szCs w:val="26"/>
        </w:rPr>
        <w:t xml:space="preserve"> а также сведений об оценке исполнения по администрируемым доходам, представленных главными администраторами доходов бюджета городского округа;</w:t>
      </w:r>
      <w:r>
        <w:rPr>
          <w:rFonts w:ascii="Times New Roman" w:hAnsi="Times New Roman"/>
          <w:sz w:val="28"/>
          <w:szCs w:val="26"/>
        </w:rPr>
        <w:t xml:space="preserve">  </w:t>
      </w:r>
    </w:p>
    <w:p w:rsidR="000A1AEC" w:rsidRDefault="000A1AEC" w:rsidP="000A1AEC">
      <w:pPr>
        <w:pStyle w:val="ConsPlusNormal"/>
        <w:ind w:firstLine="705"/>
        <w:rPr>
          <w:b/>
        </w:rPr>
      </w:pPr>
      <w:r w:rsidRPr="00684CFC">
        <w:t xml:space="preserve">- перехода с 01.01.2016 года на исчисление </w:t>
      </w:r>
      <w:proofErr w:type="gramStart"/>
      <w:r w:rsidRPr="00684CFC">
        <w:t>налога</w:t>
      </w:r>
      <w:proofErr w:type="gramEnd"/>
      <w:r w:rsidRPr="00684CFC">
        <w:t xml:space="preserve"> на имущество физических лиц исходя из кадастровой стоимости объектов налогообложения;</w:t>
      </w:r>
    </w:p>
    <w:p w:rsidR="000A1AEC" w:rsidRPr="00684CFC" w:rsidRDefault="000A1AEC" w:rsidP="000A1AEC">
      <w:pPr>
        <w:pStyle w:val="ConsPlusNormal"/>
        <w:rPr>
          <w:b/>
        </w:rPr>
      </w:pPr>
      <w:r>
        <w:t xml:space="preserve">-  зачисления в доход бюджета </w:t>
      </w:r>
      <w:proofErr w:type="gramStart"/>
      <w:r>
        <w:t>Петропавловск-Камчатского</w:t>
      </w:r>
      <w:proofErr w:type="gramEnd"/>
      <w:r>
        <w:t xml:space="preserve"> городского округа налога на имущество организаций в размере 20,0 процентов (письмо Министерства финансов Камчатского края от 09.06.2016 № 33.02-10/2009).</w:t>
      </w:r>
    </w:p>
    <w:p w:rsidR="000A1AEC" w:rsidRPr="00684CFC" w:rsidRDefault="000A1AEC" w:rsidP="000A1AEC">
      <w:pPr>
        <w:spacing w:after="0"/>
        <w:ind w:firstLine="705"/>
        <w:rPr>
          <w:rFonts w:ascii="Times New Roman" w:hAnsi="Times New Roman"/>
          <w:sz w:val="28"/>
          <w:szCs w:val="28"/>
        </w:rPr>
      </w:pPr>
      <w:proofErr w:type="gramStart"/>
      <w:r w:rsidRPr="00684CFC">
        <w:rPr>
          <w:rFonts w:ascii="Times New Roman" w:hAnsi="Times New Roman"/>
          <w:sz w:val="28"/>
          <w:szCs w:val="26"/>
        </w:rPr>
        <w:t>- применения уровня инфляции на 2017 год и плановый</w:t>
      </w:r>
      <w:r>
        <w:rPr>
          <w:rFonts w:ascii="Times New Roman" w:hAnsi="Times New Roman"/>
          <w:sz w:val="28"/>
          <w:szCs w:val="26"/>
        </w:rPr>
        <w:t xml:space="preserve">                 </w:t>
      </w:r>
      <w:r w:rsidRPr="00684CFC">
        <w:rPr>
          <w:rFonts w:ascii="Times New Roman" w:hAnsi="Times New Roman"/>
          <w:sz w:val="28"/>
          <w:szCs w:val="26"/>
        </w:rPr>
        <w:t xml:space="preserve"> период 2018- 2019 годов согласно протоколу заседания Бюджетной комиссии при Правительстве Камчатского края от 29.07.2016 № 2</w:t>
      </w:r>
      <w:r w:rsidRPr="00684CFC">
        <w:rPr>
          <w:rFonts w:ascii="Times New Roman" w:hAnsi="Times New Roman"/>
          <w:sz w:val="28"/>
          <w:szCs w:val="28"/>
        </w:rPr>
        <w:t xml:space="preserve"> № 90.01-04/1136 по консервативному варианту в размерах: 105,5 процентов на 2017 год,</w:t>
      </w:r>
      <w:r w:rsidR="00A63AFB">
        <w:rPr>
          <w:rFonts w:ascii="Times New Roman" w:hAnsi="Times New Roman"/>
          <w:sz w:val="28"/>
          <w:szCs w:val="28"/>
        </w:rPr>
        <w:t xml:space="preserve"> </w:t>
      </w:r>
      <w:r w:rsidRPr="00684CFC">
        <w:rPr>
          <w:rFonts w:ascii="Times New Roman" w:hAnsi="Times New Roman"/>
          <w:sz w:val="28"/>
          <w:szCs w:val="28"/>
        </w:rPr>
        <w:t>104,5 процентов на 2018 год, 104,0 процента на 2019 год;</w:t>
      </w:r>
      <w:proofErr w:type="gramEnd"/>
    </w:p>
    <w:p w:rsidR="000A1AEC" w:rsidRPr="00684CFC" w:rsidRDefault="000A1AEC" w:rsidP="000A1AEC">
      <w:pPr>
        <w:spacing w:after="0"/>
        <w:ind w:firstLine="705"/>
        <w:rPr>
          <w:rFonts w:ascii="Times New Roman" w:hAnsi="Times New Roman"/>
          <w:sz w:val="28"/>
          <w:szCs w:val="28"/>
        </w:rPr>
      </w:pPr>
      <w:r w:rsidRPr="00684CFC">
        <w:rPr>
          <w:rFonts w:ascii="Times New Roman" w:hAnsi="Times New Roman"/>
          <w:sz w:val="28"/>
          <w:szCs w:val="28"/>
        </w:rPr>
        <w:t xml:space="preserve">- с учетом </w:t>
      </w:r>
      <w:proofErr w:type="gramStart"/>
      <w:r w:rsidRPr="00684CFC">
        <w:rPr>
          <w:rFonts w:ascii="Times New Roman" w:hAnsi="Times New Roman"/>
          <w:sz w:val="28"/>
          <w:szCs w:val="28"/>
        </w:rPr>
        <w:t>показателей реестра расходных обязательств городского округа</w:t>
      </w:r>
      <w:proofErr w:type="gramEnd"/>
      <w:r w:rsidRPr="00684CFC">
        <w:rPr>
          <w:rFonts w:ascii="Times New Roman" w:hAnsi="Times New Roman"/>
          <w:sz w:val="28"/>
          <w:szCs w:val="28"/>
        </w:rPr>
        <w:t xml:space="preserve"> на 2016-2019 годы;</w:t>
      </w:r>
    </w:p>
    <w:p w:rsidR="000A1AEC" w:rsidRPr="00946BB4" w:rsidRDefault="000A1AEC" w:rsidP="000A1AEC">
      <w:pPr>
        <w:spacing w:after="0"/>
        <w:ind w:firstLine="705"/>
        <w:rPr>
          <w:rFonts w:ascii="Times New Roman" w:hAnsi="Times New Roman"/>
          <w:sz w:val="28"/>
          <w:szCs w:val="28"/>
        </w:rPr>
      </w:pPr>
      <w:r w:rsidRPr="00684CFC">
        <w:rPr>
          <w:rFonts w:ascii="Times New Roman" w:hAnsi="Times New Roman"/>
          <w:sz w:val="28"/>
          <w:szCs w:val="28"/>
        </w:rPr>
        <w:lastRenderedPageBreak/>
        <w:t>- объемов межбюджетных трансфертов, установленных законом Камчатского края от 01.12.2015 № 710 «О краевом бюджете на 2016 год» и краевых уведомлений о перечислении межбюджетных трансфертов.</w:t>
      </w:r>
    </w:p>
    <w:p w:rsidR="000A1AEC" w:rsidRPr="004A0A62" w:rsidRDefault="000A1AEC" w:rsidP="000A1AEC">
      <w:pPr>
        <w:pStyle w:val="ConsPlusNormal"/>
        <w:rPr>
          <w:b/>
        </w:rPr>
      </w:pPr>
      <w:r w:rsidRPr="004A0A62">
        <w:t xml:space="preserve">Основными целями и задачами бюджетной и налоговой политики городского округа на 2017-2019 годы являются: </w:t>
      </w:r>
    </w:p>
    <w:p w:rsidR="000A1AEC" w:rsidRPr="004A0A62" w:rsidRDefault="000A1AEC" w:rsidP="000A1AEC">
      <w:pPr>
        <w:pStyle w:val="ConsPlusNormal"/>
        <w:rPr>
          <w:b/>
        </w:rPr>
      </w:pPr>
      <w:proofErr w:type="gramStart"/>
      <w:r w:rsidRPr="004A0A62">
        <w:t>- деятельность органов местного самоуправления и главных администраторов доходов бюджета городского округа направленная на реализацию мероприятий по обеспечению макроэкономической стабильности, долгосрочной сбалансированности и устойчивости бюджета городского округа с учетом текущей экономической ситуации;</w:t>
      </w:r>
      <w:proofErr w:type="gramEnd"/>
    </w:p>
    <w:p w:rsidR="000A1AEC" w:rsidRPr="004A0A62" w:rsidRDefault="000A1AEC" w:rsidP="000A1AEC">
      <w:pPr>
        <w:pStyle w:val="ConsPlusNormal"/>
        <w:rPr>
          <w:b/>
        </w:rPr>
      </w:pPr>
      <w:proofErr w:type="gramStart"/>
      <w:r w:rsidRPr="004A0A62">
        <w:t>- обеспечение устойчивости и сбалансированности бюджетного процесса в городском округе за счет ограничения роста расходов и дефицита бюджета городского округа при безусловном исполнении принятых обязательств наиболее эффективным способом;</w:t>
      </w:r>
      <w:proofErr w:type="gramEnd"/>
    </w:p>
    <w:p w:rsidR="000A1AEC" w:rsidRPr="004A0A62" w:rsidRDefault="000A1AEC" w:rsidP="000A1AEC">
      <w:pPr>
        <w:pStyle w:val="ConsPlusNormal"/>
        <w:rPr>
          <w:b/>
        </w:rPr>
      </w:pPr>
      <w:r w:rsidRPr="004A0A62">
        <w:t>- повышение эффективности и результативности имеющихся инструментов программно-целевого управления;</w:t>
      </w:r>
    </w:p>
    <w:p w:rsidR="000A1AEC" w:rsidRPr="004A0A62" w:rsidRDefault="000A1AEC" w:rsidP="000A1AEC">
      <w:pPr>
        <w:pStyle w:val="ConsPlusNormal"/>
        <w:tabs>
          <w:tab w:val="left" w:pos="3285"/>
        </w:tabs>
        <w:rPr>
          <w:b/>
        </w:rPr>
      </w:pPr>
      <w:r w:rsidRPr="004A0A62">
        <w:t xml:space="preserve">- обеспечение </w:t>
      </w:r>
      <w:proofErr w:type="gramStart"/>
      <w:r w:rsidRPr="004A0A62">
        <w:t>повышения операционной эффективности расходования бюджетных ресурсов</w:t>
      </w:r>
      <w:proofErr w:type="gramEnd"/>
      <w:r w:rsidRPr="004A0A62">
        <w:t>;</w:t>
      </w:r>
    </w:p>
    <w:p w:rsidR="000A1AEC" w:rsidRPr="004A0A62" w:rsidRDefault="000A1AEC" w:rsidP="000A1AEC">
      <w:pPr>
        <w:pStyle w:val="ConsPlusNormal"/>
        <w:rPr>
          <w:b/>
        </w:rPr>
      </w:pPr>
      <w:r w:rsidRPr="004A0A62">
        <w:t>- создание условий для повышения качества предоставления муниципальных услуг;</w:t>
      </w:r>
    </w:p>
    <w:p w:rsidR="000A1AEC" w:rsidRPr="004A0A62" w:rsidRDefault="000A1AEC" w:rsidP="000A1AEC">
      <w:pPr>
        <w:pStyle w:val="ConsPlusNormal"/>
        <w:rPr>
          <w:b/>
        </w:rPr>
      </w:pPr>
      <w:r w:rsidRPr="004A0A62">
        <w:t xml:space="preserve">- повышение </w:t>
      </w:r>
      <w:proofErr w:type="gramStart"/>
      <w:r w:rsidRPr="004A0A62">
        <w:t>результативности процедур проведения муниципальных закупок</w:t>
      </w:r>
      <w:proofErr w:type="gramEnd"/>
      <w:r w:rsidRPr="004A0A62">
        <w:t>;</w:t>
      </w:r>
    </w:p>
    <w:p w:rsidR="000A1AEC" w:rsidRPr="004A0A62" w:rsidRDefault="000A1AEC" w:rsidP="000A1AEC">
      <w:pPr>
        <w:pStyle w:val="ConsPlusNormal"/>
        <w:rPr>
          <w:b/>
        </w:rPr>
      </w:pPr>
      <w:r w:rsidRPr="004A0A62">
        <w:t>- совершенствование процедур предварительного и последующего контроля, в том числе уточнение порядка и содержания мер принуждения к нарушениям в финансово-бюджетной сфере;</w:t>
      </w:r>
    </w:p>
    <w:p w:rsidR="000A1AEC" w:rsidRPr="004A0A62" w:rsidRDefault="000A1AEC" w:rsidP="000A1AEC">
      <w:pPr>
        <w:pStyle w:val="ConsPlusNormal"/>
        <w:rPr>
          <w:b/>
        </w:rPr>
      </w:pPr>
      <w:r w:rsidRPr="004A0A62">
        <w:t>- обеспечение широкого вовлечения граждан в процедуры обсуждения и принятия конкретных бюджетных решений, общественного контроля;</w:t>
      </w:r>
    </w:p>
    <w:p w:rsidR="000A1AEC" w:rsidRPr="004A0A62" w:rsidRDefault="000A1AEC" w:rsidP="000A1AEC">
      <w:pPr>
        <w:pStyle w:val="ConsPlusNormal"/>
        <w:rPr>
          <w:b/>
        </w:rPr>
      </w:pPr>
      <w:r w:rsidRPr="004A0A62">
        <w:t>- совершенствование нормативного правового регулирования в сфере полномочий городского округа и проведение политики обоснованности и эффективности применения налоговых льгот;</w:t>
      </w:r>
    </w:p>
    <w:p w:rsidR="000A1AEC" w:rsidRPr="004A0A62" w:rsidRDefault="000A1AEC" w:rsidP="000A1AEC">
      <w:pPr>
        <w:pStyle w:val="ConsPlusNormal"/>
        <w:rPr>
          <w:b/>
        </w:rPr>
      </w:pPr>
      <w:r w:rsidRPr="004A0A62">
        <w:t xml:space="preserve">- обеспечение реалистичности планирования, исполнения и </w:t>
      </w:r>
      <w:proofErr w:type="gramStart"/>
      <w:r w:rsidRPr="004A0A62">
        <w:t>контроля за</w:t>
      </w:r>
      <w:proofErr w:type="gramEnd"/>
      <w:r w:rsidRPr="004A0A62">
        <w:t xml:space="preserve"> исполнением доходов бюджета городского округа,</w:t>
      </w:r>
    </w:p>
    <w:p w:rsidR="000A1AEC" w:rsidRPr="004A0A62" w:rsidRDefault="000A1AEC" w:rsidP="000A1AEC">
      <w:pPr>
        <w:pStyle w:val="ConsPlusNormal"/>
        <w:rPr>
          <w:b/>
        </w:rPr>
      </w:pPr>
      <w:r w:rsidRPr="004A0A62">
        <w:t>- организация работы по увеличению налогового потенциала городского округа, в том числе за счет легализации «серой» заработной платы, сокращения задолженности по налогам и сборам, эффективного использования имущества городского округа, улучшения предпринимательского и инвестиционного климата, а также поддержке субъектов малого и среднего предпринимательства.</w:t>
      </w:r>
    </w:p>
    <w:p w:rsidR="000A1AEC" w:rsidRPr="00BE4848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666BBE">
        <w:rPr>
          <w:rFonts w:ascii="Times New Roman" w:hAnsi="Times New Roman"/>
          <w:sz w:val="28"/>
          <w:szCs w:val="28"/>
        </w:rPr>
        <w:t>Оценка исполнения бюджета городского округа по расходам за 2016 год производилась с учетом фактического исполнения бюджета по состоянию на 01.10.2016, результатов оптимизации бюджетных средств по итогам исполнения бюджета Петропавловск-Камчатского городског</w:t>
      </w:r>
      <w:r>
        <w:rPr>
          <w:rFonts w:ascii="Times New Roman" w:hAnsi="Times New Roman"/>
          <w:sz w:val="28"/>
          <w:szCs w:val="28"/>
        </w:rPr>
        <w:t>о округа за 9 месяцев 2016 года.</w:t>
      </w:r>
      <w:proofErr w:type="gramEnd"/>
    </w:p>
    <w:p w:rsidR="000A1AEC" w:rsidRPr="0064320B" w:rsidRDefault="000A1AEC" w:rsidP="000A1AEC">
      <w:pPr>
        <w:pStyle w:val="ConsPlusNormal"/>
        <w:rPr>
          <w:b/>
        </w:rPr>
      </w:pPr>
      <w:proofErr w:type="gramStart"/>
      <w:r w:rsidRPr="0064320B">
        <w:t>Основными приоритетными</w:t>
      </w:r>
      <w:proofErr w:type="gramEnd"/>
      <w:r w:rsidRPr="0064320B">
        <w:t xml:space="preserve"> направлениями расходов бюджета городского округа являются:</w:t>
      </w:r>
    </w:p>
    <w:p w:rsidR="000A1AEC" w:rsidRPr="0064320B" w:rsidRDefault="000A1AEC" w:rsidP="000A1AEC">
      <w:pPr>
        <w:pStyle w:val="ConsPlusNormal"/>
        <w:rPr>
          <w:b/>
        </w:rPr>
      </w:pPr>
      <w:r>
        <w:t xml:space="preserve">- </w:t>
      </w:r>
      <w:r w:rsidRPr="0064320B">
        <w:t>обеспечение принципа адресности и нуждаемости при оказании социальной поддержки;</w:t>
      </w:r>
    </w:p>
    <w:p w:rsidR="000A1AEC" w:rsidRPr="0064320B" w:rsidRDefault="000A1AEC" w:rsidP="000A1AEC">
      <w:pPr>
        <w:pStyle w:val="ConsPlusNormal"/>
        <w:rPr>
          <w:b/>
        </w:rPr>
      </w:pPr>
      <w:r>
        <w:t xml:space="preserve">- </w:t>
      </w:r>
      <w:r w:rsidRPr="0064320B">
        <w:t xml:space="preserve"> погашение долговых обязательств городского округа;</w:t>
      </w:r>
    </w:p>
    <w:p w:rsidR="000A1AEC" w:rsidRPr="0064320B" w:rsidRDefault="000A1AEC" w:rsidP="000A1AEC">
      <w:pPr>
        <w:pStyle w:val="ConsPlusNormal"/>
        <w:rPr>
          <w:b/>
        </w:rPr>
      </w:pPr>
      <w:r>
        <w:lastRenderedPageBreak/>
        <w:t xml:space="preserve">- </w:t>
      </w:r>
      <w:r w:rsidRPr="0064320B">
        <w:t>развитие инфраструктуры городского округа.</w:t>
      </w:r>
    </w:p>
    <w:p w:rsidR="000A1AEC" w:rsidRPr="0064320B" w:rsidRDefault="000A1AEC" w:rsidP="000A1AEC">
      <w:pPr>
        <w:pStyle w:val="ConsPlusNormal"/>
        <w:rPr>
          <w:b/>
        </w:rPr>
      </w:pPr>
      <w:r w:rsidRPr="0064320B">
        <w:t>Первоочередными расходами бюджета городского округа являются:</w:t>
      </w:r>
    </w:p>
    <w:p w:rsidR="000A1AEC" w:rsidRPr="0064320B" w:rsidRDefault="000A1AEC" w:rsidP="000A1AEC">
      <w:pPr>
        <w:pStyle w:val="ConsPlusNormal"/>
        <w:rPr>
          <w:b/>
        </w:rPr>
      </w:pPr>
      <w:r>
        <w:t xml:space="preserve">- </w:t>
      </w:r>
      <w:r w:rsidRPr="0064320B">
        <w:t>оплата труда (с начислениями);</w:t>
      </w:r>
    </w:p>
    <w:p w:rsidR="000A1AEC" w:rsidRPr="0064320B" w:rsidRDefault="000A1AEC" w:rsidP="000A1AEC">
      <w:pPr>
        <w:pStyle w:val="ConsPlusNormal"/>
        <w:rPr>
          <w:b/>
        </w:rPr>
      </w:pPr>
      <w:r>
        <w:t xml:space="preserve">- </w:t>
      </w:r>
      <w:r w:rsidRPr="0064320B">
        <w:t xml:space="preserve">реализация </w:t>
      </w:r>
      <w:proofErr w:type="gramStart"/>
      <w:r w:rsidRPr="0064320B">
        <w:t>мер социальной поддержки населения городского округа</w:t>
      </w:r>
      <w:proofErr w:type="gramEnd"/>
      <w:r w:rsidRPr="0064320B">
        <w:t>;</w:t>
      </w:r>
    </w:p>
    <w:p w:rsidR="000A1AEC" w:rsidRPr="0064320B" w:rsidRDefault="000A1AEC" w:rsidP="000A1AEC">
      <w:pPr>
        <w:pStyle w:val="ConsPlusNormal"/>
        <w:rPr>
          <w:b/>
        </w:rPr>
      </w:pPr>
      <w:r>
        <w:t xml:space="preserve">- </w:t>
      </w:r>
      <w:r w:rsidRPr="0064320B">
        <w:t>оплата коммунальных услуг;</w:t>
      </w:r>
    </w:p>
    <w:p w:rsidR="000A1AEC" w:rsidRPr="0064320B" w:rsidRDefault="000A1AEC" w:rsidP="000A1AEC">
      <w:pPr>
        <w:pStyle w:val="ConsPlusNormal"/>
        <w:rPr>
          <w:b/>
        </w:rPr>
      </w:pPr>
      <w:r>
        <w:t xml:space="preserve">- </w:t>
      </w:r>
      <w:r w:rsidRPr="0064320B">
        <w:t>погашение долговых обязательств городского округа и процентных платежей по обслуживанию муниципального долга городского округа.</w:t>
      </w:r>
    </w:p>
    <w:p w:rsidR="000A1AEC" w:rsidRPr="00B734FC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B734FC">
        <w:rPr>
          <w:rFonts w:ascii="Times New Roman" w:hAnsi="Times New Roman"/>
          <w:sz w:val="28"/>
          <w:szCs w:val="28"/>
        </w:rPr>
        <w:t xml:space="preserve">По расходам, и по первому, и по второму вариантам планируется снижение общего объема расходов по сравнению с оценкой исполнения 2016 года, что в основном связано с уменьшением объема безвозмездных поступлений из краевого бюджета: </w:t>
      </w:r>
    </w:p>
    <w:p w:rsidR="000A1AEC" w:rsidRPr="00B734FC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B734FC">
        <w:rPr>
          <w:rFonts w:ascii="Times New Roman" w:hAnsi="Times New Roman"/>
          <w:sz w:val="28"/>
          <w:szCs w:val="28"/>
        </w:rPr>
        <w:t>2017 год снижение по первому варианту составит 14,</w:t>
      </w:r>
      <w:r>
        <w:rPr>
          <w:rFonts w:ascii="Times New Roman" w:hAnsi="Times New Roman"/>
          <w:sz w:val="28"/>
          <w:szCs w:val="28"/>
        </w:rPr>
        <w:t>3 процента</w:t>
      </w:r>
      <w:r w:rsidRPr="00B734FC">
        <w:rPr>
          <w:rFonts w:ascii="Times New Roman" w:hAnsi="Times New Roman"/>
          <w:sz w:val="28"/>
          <w:szCs w:val="28"/>
        </w:rPr>
        <w:t xml:space="preserve">, по второму </w:t>
      </w:r>
      <w:r>
        <w:rPr>
          <w:rFonts w:ascii="Times New Roman" w:hAnsi="Times New Roman"/>
          <w:sz w:val="28"/>
          <w:szCs w:val="28"/>
        </w:rPr>
        <w:t>12,4 процента</w:t>
      </w:r>
      <w:r w:rsidRPr="00B734FC">
        <w:rPr>
          <w:rFonts w:ascii="Times New Roman" w:hAnsi="Times New Roman"/>
          <w:sz w:val="28"/>
          <w:szCs w:val="28"/>
        </w:rPr>
        <w:t>;</w:t>
      </w:r>
    </w:p>
    <w:p w:rsidR="000A1AEC" w:rsidRPr="00B734FC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B734FC">
        <w:rPr>
          <w:rFonts w:ascii="Times New Roman" w:hAnsi="Times New Roman"/>
          <w:sz w:val="28"/>
          <w:szCs w:val="28"/>
        </w:rPr>
        <w:t xml:space="preserve">2018 год снижение по первому варианту составит </w:t>
      </w:r>
      <w:r>
        <w:rPr>
          <w:rFonts w:ascii="Times New Roman" w:hAnsi="Times New Roman"/>
          <w:sz w:val="28"/>
          <w:szCs w:val="28"/>
        </w:rPr>
        <w:t>11,8</w:t>
      </w:r>
      <w:r w:rsidRPr="00B734FC">
        <w:rPr>
          <w:rFonts w:ascii="Times New Roman" w:hAnsi="Times New Roman"/>
          <w:sz w:val="28"/>
          <w:szCs w:val="28"/>
        </w:rPr>
        <w:t xml:space="preserve"> процента, по второму </w:t>
      </w:r>
      <w:r>
        <w:rPr>
          <w:rFonts w:ascii="Times New Roman" w:hAnsi="Times New Roman"/>
          <w:sz w:val="28"/>
          <w:szCs w:val="28"/>
        </w:rPr>
        <w:t>7,7 процента</w:t>
      </w:r>
      <w:r w:rsidRPr="00B734FC">
        <w:rPr>
          <w:rFonts w:ascii="Times New Roman" w:hAnsi="Times New Roman"/>
          <w:sz w:val="28"/>
          <w:szCs w:val="28"/>
        </w:rPr>
        <w:t>;</w:t>
      </w:r>
    </w:p>
    <w:p w:rsidR="000A1AEC" w:rsidRPr="00B734FC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B734FC">
        <w:rPr>
          <w:rFonts w:ascii="Times New Roman" w:hAnsi="Times New Roman"/>
          <w:sz w:val="28"/>
          <w:szCs w:val="28"/>
        </w:rPr>
        <w:t xml:space="preserve">2019 год снижение по первому варианту составит </w:t>
      </w:r>
      <w:r>
        <w:rPr>
          <w:rFonts w:ascii="Times New Roman" w:hAnsi="Times New Roman"/>
          <w:sz w:val="28"/>
          <w:szCs w:val="28"/>
        </w:rPr>
        <w:t>16,8</w:t>
      </w:r>
      <w:r w:rsidRPr="00B734FC">
        <w:rPr>
          <w:rFonts w:ascii="Times New Roman" w:hAnsi="Times New Roman"/>
          <w:sz w:val="28"/>
          <w:szCs w:val="28"/>
        </w:rPr>
        <w:t xml:space="preserve"> процента, по второму</w:t>
      </w:r>
      <w:r>
        <w:rPr>
          <w:rFonts w:ascii="Times New Roman" w:hAnsi="Times New Roman"/>
          <w:sz w:val="28"/>
          <w:szCs w:val="28"/>
        </w:rPr>
        <w:t xml:space="preserve"> 11,5 процента</w:t>
      </w:r>
      <w:r w:rsidRPr="00B734FC">
        <w:rPr>
          <w:rFonts w:ascii="Times New Roman" w:hAnsi="Times New Roman"/>
          <w:sz w:val="28"/>
          <w:szCs w:val="28"/>
        </w:rPr>
        <w:t>.</w:t>
      </w:r>
    </w:p>
    <w:p w:rsidR="000A1AEC" w:rsidRPr="00B734FC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B734FC">
        <w:rPr>
          <w:rFonts w:ascii="Times New Roman" w:hAnsi="Times New Roman"/>
          <w:sz w:val="28"/>
          <w:szCs w:val="28"/>
        </w:rPr>
        <w:t>В целом по обоим вариантам отклонения прогнозных показателей по разделам функциональной классификации расходов бюджетов незначительны, отклонение общего объема расходов второго варианта к первому составляет:</w:t>
      </w:r>
    </w:p>
    <w:p w:rsidR="000A1AEC" w:rsidRPr="00B734FC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B734FC">
        <w:rPr>
          <w:rFonts w:ascii="Times New Roman" w:hAnsi="Times New Roman"/>
          <w:sz w:val="28"/>
          <w:szCs w:val="28"/>
        </w:rPr>
        <w:t xml:space="preserve">2017 год – </w:t>
      </w:r>
      <w:r>
        <w:rPr>
          <w:rFonts w:ascii="Times New Roman" w:hAnsi="Times New Roman"/>
          <w:sz w:val="28"/>
          <w:szCs w:val="28"/>
        </w:rPr>
        <w:t>233,1</w:t>
      </w:r>
      <w:r w:rsidRPr="00B734FC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>.</w:t>
      </w:r>
      <w:r w:rsidRPr="00B734FC">
        <w:rPr>
          <w:rFonts w:ascii="Times New Roman" w:hAnsi="Times New Roman"/>
          <w:sz w:val="28"/>
          <w:szCs w:val="28"/>
        </w:rPr>
        <w:t xml:space="preserve"> рублей, или </w:t>
      </w:r>
      <w:r>
        <w:rPr>
          <w:rFonts w:ascii="Times New Roman" w:hAnsi="Times New Roman"/>
          <w:sz w:val="28"/>
          <w:szCs w:val="28"/>
        </w:rPr>
        <w:t>2,3 процента</w:t>
      </w:r>
      <w:r w:rsidRPr="00B734FC">
        <w:rPr>
          <w:rFonts w:ascii="Times New Roman" w:hAnsi="Times New Roman"/>
          <w:sz w:val="28"/>
          <w:szCs w:val="28"/>
        </w:rPr>
        <w:t>;</w:t>
      </w:r>
    </w:p>
    <w:p w:rsidR="000A1AEC" w:rsidRPr="00B734FC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B734FC">
        <w:rPr>
          <w:rFonts w:ascii="Times New Roman" w:hAnsi="Times New Roman"/>
          <w:sz w:val="28"/>
          <w:szCs w:val="28"/>
        </w:rPr>
        <w:t>2018 год –</w:t>
      </w:r>
      <w:r>
        <w:rPr>
          <w:rFonts w:ascii="Times New Roman" w:hAnsi="Times New Roman"/>
          <w:sz w:val="28"/>
          <w:szCs w:val="28"/>
        </w:rPr>
        <w:t>494,7</w:t>
      </w:r>
      <w:r w:rsidRPr="00B734FC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>.</w:t>
      </w:r>
      <w:r w:rsidRPr="00B734FC">
        <w:rPr>
          <w:rFonts w:ascii="Times New Roman" w:hAnsi="Times New Roman"/>
          <w:sz w:val="28"/>
          <w:szCs w:val="28"/>
        </w:rPr>
        <w:t xml:space="preserve"> рублей, или </w:t>
      </w:r>
      <w:r>
        <w:rPr>
          <w:rFonts w:ascii="Times New Roman" w:hAnsi="Times New Roman"/>
          <w:sz w:val="28"/>
          <w:szCs w:val="28"/>
        </w:rPr>
        <w:t>4,7 процента</w:t>
      </w:r>
      <w:r w:rsidRPr="00B734FC">
        <w:rPr>
          <w:rFonts w:ascii="Times New Roman" w:hAnsi="Times New Roman"/>
          <w:sz w:val="28"/>
          <w:szCs w:val="28"/>
        </w:rPr>
        <w:t>;</w:t>
      </w:r>
    </w:p>
    <w:p w:rsidR="000A1AEC" w:rsidRPr="00B734FC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B734FC">
        <w:rPr>
          <w:rFonts w:ascii="Times New Roman" w:hAnsi="Times New Roman"/>
          <w:sz w:val="28"/>
          <w:szCs w:val="28"/>
        </w:rPr>
        <w:t xml:space="preserve">2019 год – </w:t>
      </w:r>
      <w:r>
        <w:rPr>
          <w:rFonts w:ascii="Times New Roman" w:hAnsi="Times New Roman"/>
          <w:sz w:val="28"/>
          <w:szCs w:val="28"/>
        </w:rPr>
        <w:t>624,5</w:t>
      </w:r>
      <w:r w:rsidRPr="00B734FC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>.</w:t>
      </w:r>
      <w:r w:rsidRPr="00B734FC">
        <w:rPr>
          <w:rFonts w:ascii="Times New Roman" w:hAnsi="Times New Roman"/>
          <w:sz w:val="28"/>
          <w:szCs w:val="28"/>
        </w:rPr>
        <w:t xml:space="preserve"> рублей, или </w:t>
      </w:r>
      <w:r>
        <w:rPr>
          <w:rFonts w:ascii="Times New Roman" w:hAnsi="Times New Roman"/>
          <w:sz w:val="28"/>
          <w:szCs w:val="28"/>
        </w:rPr>
        <w:t>6</w:t>
      </w:r>
      <w:r w:rsidRPr="00B734F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 процента</w:t>
      </w:r>
      <w:r w:rsidRPr="00B734FC">
        <w:rPr>
          <w:rFonts w:ascii="Times New Roman" w:hAnsi="Times New Roman"/>
          <w:sz w:val="28"/>
          <w:szCs w:val="28"/>
        </w:rPr>
        <w:t>.</w:t>
      </w:r>
    </w:p>
    <w:p w:rsidR="000A1AEC" w:rsidRPr="0035039F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35039F">
        <w:rPr>
          <w:rFonts w:ascii="Times New Roman" w:hAnsi="Times New Roman"/>
          <w:sz w:val="28"/>
          <w:szCs w:val="28"/>
        </w:rPr>
        <w:t>По оценке 2016 года основная доля расходов приходится на социально-культурные мероприятия и составляет 6</w:t>
      </w:r>
      <w:r>
        <w:rPr>
          <w:rFonts w:ascii="Times New Roman" w:hAnsi="Times New Roman"/>
          <w:sz w:val="28"/>
          <w:szCs w:val="28"/>
        </w:rPr>
        <w:t>0,7</w:t>
      </w:r>
      <w:r w:rsidRPr="0035039F">
        <w:rPr>
          <w:rFonts w:ascii="Times New Roman" w:hAnsi="Times New Roman"/>
          <w:sz w:val="28"/>
          <w:szCs w:val="28"/>
        </w:rPr>
        <w:t xml:space="preserve"> процентов:</w:t>
      </w:r>
    </w:p>
    <w:p w:rsidR="000A1AEC" w:rsidRPr="0035039F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35039F">
        <w:rPr>
          <w:rFonts w:ascii="Times New Roman" w:hAnsi="Times New Roman"/>
          <w:sz w:val="28"/>
          <w:szCs w:val="28"/>
        </w:rPr>
        <w:t>2017 год – 6</w:t>
      </w:r>
      <w:r>
        <w:rPr>
          <w:rFonts w:ascii="Times New Roman" w:hAnsi="Times New Roman"/>
          <w:sz w:val="28"/>
          <w:szCs w:val="28"/>
        </w:rPr>
        <w:t>4,8</w:t>
      </w:r>
      <w:r w:rsidRPr="0035039F">
        <w:rPr>
          <w:rFonts w:ascii="Times New Roman" w:hAnsi="Times New Roman"/>
          <w:sz w:val="28"/>
          <w:szCs w:val="28"/>
        </w:rPr>
        <w:t xml:space="preserve"> процентов, рост к оценке 2016 года 4,</w:t>
      </w:r>
      <w:r>
        <w:rPr>
          <w:rFonts w:ascii="Times New Roman" w:hAnsi="Times New Roman"/>
          <w:sz w:val="28"/>
          <w:szCs w:val="28"/>
        </w:rPr>
        <w:t>1</w:t>
      </w:r>
      <w:r w:rsidRPr="0035039F">
        <w:rPr>
          <w:rFonts w:ascii="Times New Roman" w:hAnsi="Times New Roman"/>
          <w:sz w:val="28"/>
          <w:szCs w:val="28"/>
        </w:rPr>
        <w:t xml:space="preserve"> процента;</w:t>
      </w:r>
    </w:p>
    <w:p w:rsidR="000A1AEC" w:rsidRPr="0035039F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35039F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sz w:val="28"/>
          <w:szCs w:val="28"/>
        </w:rPr>
        <w:t>61,7</w:t>
      </w:r>
      <w:r w:rsidRPr="0035039F">
        <w:rPr>
          <w:rFonts w:ascii="Times New Roman" w:hAnsi="Times New Roman"/>
          <w:sz w:val="28"/>
          <w:szCs w:val="28"/>
        </w:rPr>
        <w:t xml:space="preserve"> процентов, рост к оценке 2016 года 0,</w:t>
      </w:r>
      <w:r>
        <w:rPr>
          <w:rFonts w:ascii="Times New Roman" w:hAnsi="Times New Roman"/>
          <w:sz w:val="28"/>
          <w:szCs w:val="28"/>
        </w:rPr>
        <w:t>9</w:t>
      </w:r>
      <w:r w:rsidRPr="0035039F">
        <w:rPr>
          <w:rFonts w:ascii="Times New Roman" w:hAnsi="Times New Roman"/>
          <w:sz w:val="28"/>
          <w:szCs w:val="28"/>
        </w:rPr>
        <w:t xml:space="preserve"> процента;</w:t>
      </w:r>
    </w:p>
    <w:p w:rsidR="000A1AEC" w:rsidRPr="0035039F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35039F">
        <w:rPr>
          <w:rFonts w:ascii="Times New Roman" w:hAnsi="Times New Roman"/>
          <w:sz w:val="28"/>
          <w:szCs w:val="28"/>
        </w:rPr>
        <w:t xml:space="preserve">2019 год – 63,3 процента, рост к оценке 2016 года </w:t>
      </w:r>
      <w:r>
        <w:rPr>
          <w:rFonts w:ascii="Times New Roman" w:hAnsi="Times New Roman"/>
          <w:sz w:val="28"/>
          <w:szCs w:val="28"/>
        </w:rPr>
        <w:t>2,6</w:t>
      </w:r>
      <w:r w:rsidRPr="0035039F">
        <w:rPr>
          <w:rFonts w:ascii="Times New Roman" w:hAnsi="Times New Roman"/>
          <w:sz w:val="28"/>
          <w:szCs w:val="28"/>
        </w:rPr>
        <w:t xml:space="preserve"> процентов.</w:t>
      </w:r>
    </w:p>
    <w:p w:rsidR="000A1AEC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6C4B92">
        <w:rPr>
          <w:rFonts w:ascii="Times New Roman" w:hAnsi="Times New Roman"/>
          <w:sz w:val="28"/>
          <w:szCs w:val="28"/>
        </w:rPr>
        <w:t>Наибольший удельный вес в расходах на социально-культурные мероприятия занимают расходы на образование и социальную политику:</w:t>
      </w:r>
    </w:p>
    <w:p w:rsidR="000A1AEC" w:rsidRDefault="000A1AEC" w:rsidP="000A1AEC">
      <w:pPr>
        <w:rPr>
          <w:rFonts w:ascii="Times New Roman" w:hAnsi="Times New Roman"/>
          <w:sz w:val="28"/>
          <w:szCs w:val="28"/>
        </w:rPr>
      </w:pPr>
    </w:p>
    <w:p w:rsidR="000A1AEC" w:rsidRDefault="000A1AEC" w:rsidP="000A1AEC">
      <w:pPr>
        <w:rPr>
          <w:rFonts w:ascii="Times New Roman" w:hAnsi="Times New Roman"/>
          <w:noProof/>
          <w:sz w:val="28"/>
          <w:szCs w:val="28"/>
          <w:highlight w:val="yellow"/>
          <w:lang w:eastAsia="ru-RU"/>
        </w:rPr>
      </w:pPr>
      <w:r>
        <w:rPr>
          <w:noProof/>
          <w:lang w:eastAsia="ru-RU"/>
        </w:rPr>
        <w:drawing>
          <wp:inline distT="0" distB="0" distL="0" distR="0" wp14:anchorId="2B9C47FD" wp14:editId="25828E27">
            <wp:extent cx="5105400" cy="27432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0A1AEC" w:rsidRDefault="000A1AEC" w:rsidP="000A1AEC">
      <w:pPr>
        <w:rPr>
          <w:rFonts w:ascii="Times New Roman" w:hAnsi="Times New Roman"/>
          <w:sz w:val="28"/>
          <w:szCs w:val="28"/>
        </w:rPr>
      </w:pPr>
      <w:proofErr w:type="gramStart"/>
      <w:r w:rsidRPr="006C4B92">
        <w:rPr>
          <w:rFonts w:ascii="Times New Roman" w:hAnsi="Times New Roman"/>
          <w:sz w:val="28"/>
          <w:szCs w:val="28"/>
        </w:rPr>
        <w:t>Доля затрат на жилищно-коммунальное хозяйство и национальную экономику в 2016 году по оценке составляет 2</w:t>
      </w:r>
      <w:r>
        <w:rPr>
          <w:rFonts w:ascii="Times New Roman" w:hAnsi="Times New Roman"/>
          <w:sz w:val="28"/>
          <w:szCs w:val="28"/>
        </w:rPr>
        <w:t>9,2</w:t>
      </w:r>
      <w:r w:rsidRPr="006C4B92">
        <w:rPr>
          <w:rFonts w:ascii="Times New Roman" w:hAnsi="Times New Roman"/>
          <w:sz w:val="28"/>
          <w:szCs w:val="28"/>
        </w:rPr>
        <w:t xml:space="preserve"> процентов от общего объема расходов бюджета городского округа, в прогнозируемом периоде доля затрат на </w:t>
      </w:r>
      <w:r w:rsidRPr="006C4B92">
        <w:rPr>
          <w:rFonts w:ascii="Times New Roman" w:hAnsi="Times New Roman"/>
          <w:sz w:val="28"/>
          <w:szCs w:val="28"/>
        </w:rPr>
        <w:lastRenderedPageBreak/>
        <w:t xml:space="preserve">жилищно-коммунальное хозяйство варьируется в диапазоне от </w:t>
      </w:r>
      <w:r>
        <w:rPr>
          <w:rFonts w:ascii="Times New Roman" w:hAnsi="Times New Roman"/>
          <w:sz w:val="28"/>
          <w:szCs w:val="28"/>
        </w:rPr>
        <w:t>23,9</w:t>
      </w:r>
      <w:r w:rsidRPr="006C4B92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ов</w:t>
      </w:r>
      <w:r w:rsidRPr="006C4B92">
        <w:rPr>
          <w:rFonts w:ascii="Times New Roman" w:hAnsi="Times New Roman"/>
          <w:sz w:val="28"/>
          <w:szCs w:val="28"/>
        </w:rPr>
        <w:t xml:space="preserve"> в 2017 году до 19,7 процент</w:t>
      </w:r>
      <w:r>
        <w:rPr>
          <w:rFonts w:ascii="Times New Roman" w:hAnsi="Times New Roman"/>
          <w:sz w:val="28"/>
          <w:szCs w:val="28"/>
        </w:rPr>
        <w:t>а</w:t>
      </w:r>
      <w:r w:rsidRPr="006C4B92">
        <w:rPr>
          <w:rFonts w:ascii="Times New Roman" w:hAnsi="Times New Roman"/>
          <w:sz w:val="28"/>
          <w:szCs w:val="28"/>
        </w:rPr>
        <w:t xml:space="preserve"> в 2019 году. </w:t>
      </w:r>
      <w:proofErr w:type="gramEnd"/>
    </w:p>
    <w:p w:rsidR="000A1AEC" w:rsidRDefault="000A1AEC" w:rsidP="000A1AEC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C942E75" wp14:editId="7BC7127F">
            <wp:extent cx="5106838" cy="2501661"/>
            <wp:effectExtent l="0" t="0" r="17780" b="1333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0A1AEC" w:rsidRDefault="000A1AEC" w:rsidP="000A1AEC">
      <w:pPr>
        <w:rPr>
          <w:rFonts w:ascii="Times New Roman" w:hAnsi="Times New Roman"/>
          <w:sz w:val="28"/>
          <w:szCs w:val="28"/>
        </w:rPr>
      </w:pPr>
    </w:p>
    <w:p w:rsidR="000A1AEC" w:rsidRPr="006631C5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6631C5">
        <w:rPr>
          <w:rFonts w:ascii="Times New Roman" w:hAnsi="Times New Roman"/>
          <w:sz w:val="28"/>
          <w:szCs w:val="28"/>
        </w:rPr>
        <w:t xml:space="preserve">По сравнению с ранее утвержденными параметрами прогноза социально-экономического развития, изменение параметров прогноза по доходам и расходам скорректировано с учетом изменений бюджетного законодательства и с учетом фактического исполнения плановых показателей поступлений доходов в бюджет Петропавловск-Камчатского городского округа в 2016 году, являющихся базой для расчета показателей на 2017 год и плановый период 2018 и 2019 годов. </w:t>
      </w:r>
      <w:proofErr w:type="gramEnd"/>
    </w:p>
    <w:p w:rsidR="000A1AEC" w:rsidRPr="006631C5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6631C5">
        <w:rPr>
          <w:rFonts w:ascii="Times New Roman" w:hAnsi="Times New Roman"/>
          <w:sz w:val="28"/>
          <w:szCs w:val="28"/>
        </w:rPr>
        <w:t xml:space="preserve">В дальнейшем, оценка плановых показателей поступлений в доходную и расходную часть бюджета </w:t>
      </w:r>
      <w:proofErr w:type="gramStart"/>
      <w:r w:rsidRPr="006631C5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6631C5">
        <w:rPr>
          <w:rFonts w:ascii="Times New Roman" w:hAnsi="Times New Roman"/>
          <w:sz w:val="28"/>
          <w:szCs w:val="28"/>
        </w:rPr>
        <w:t xml:space="preserve"> городского округа будет корректироваться в случаях:</w:t>
      </w:r>
    </w:p>
    <w:p w:rsidR="000A1AEC" w:rsidRPr="006631C5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6631C5">
        <w:rPr>
          <w:rFonts w:ascii="Times New Roman" w:hAnsi="Times New Roman"/>
          <w:sz w:val="28"/>
          <w:szCs w:val="28"/>
        </w:rPr>
        <w:t>- изменения объемов безвозмездных поступлений в бюджет городского округа;</w:t>
      </w:r>
    </w:p>
    <w:p w:rsidR="000A1AEC" w:rsidRPr="006631C5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6631C5">
        <w:rPr>
          <w:rFonts w:ascii="Times New Roman" w:hAnsi="Times New Roman"/>
          <w:sz w:val="28"/>
          <w:szCs w:val="28"/>
        </w:rPr>
        <w:t xml:space="preserve">- изменений плановых показателей поступлений ИФНС на 2016 год и, соответственно, на 2017-2019 годы; </w:t>
      </w:r>
    </w:p>
    <w:p w:rsidR="000A1AEC" w:rsidRPr="006631C5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6631C5">
        <w:rPr>
          <w:rFonts w:ascii="Times New Roman" w:hAnsi="Times New Roman"/>
          <w:sz w:val="28"/>
          <w:szCs w:val="28"/>
        </w:rPr>
        <w:t xml:space="preserve">- уточнений и корректировок администраторами видов доходов </w:t>
      </w:r>
      <w:proofErr w:type="gramStart"/>
      <w:r w:rsidRPr="006631C5">
        <w:rPr>
          <w:rFonts w:ascii="Times New Roman" w:hAnsi="Times New Roman"/>
          <w:sz w:val="28"/>
          <w:szCs w:val="28"/>
        </w:rPr>
        <w:t>Петропавловск-Камчатского</w:t>
      </w:r>
      <w:proofErr w:type="gramEnd"/>
      <w:r w:rsidRPr="006631C5">
        <w:rPr>
          <w:rFonts w:ascii="Times New Roman" w:hAnsi="Times New Roman"/>
          <w:sz w:val="28"/>
          <w:szCs w:val="28"/>
        </w:rPr>
        <w:t xml:space="preserve"> городского округа;</w:t>
      </w:r>
    </w:p>
    <w:p w:rsidR="000A1AEC" w:rsidRDefault="000A1AEC" w:rsidP="000A1AEC">
      <w:pPr>
        <w:spacing w:after="0"/>
        <w:rPr>
          <w:rFonts w:ascii="Times New Roman" w:hAnsi="Times New Roman"/>
          <w:sz w:val="28"/>
          <w:szCs w:val="28"/>
        </w:rPr>
      </w:pPr>
      <w:r w:rsidRPr="006631C5">
        <w:rPr>
          <w:rFonts w:ascii="Times New Roman" w:hAnsi="Times New Roman"/>
          <w:sz w:val="28"/>
          <w:szCs w:val="28"/>
        </w:rPr>
        <w:t>- изменений действующего законодательства.</w:t>
      </w:r>
    </w:p>
    <w:p w:rsidR="00A63AFB" w:rsidRDefault="00A63AFB" w:rsidP="000A1AEC">
      <w:pPr>
        <w:spacing w:after="0"/>
        <w:rPr>
          <w:rFonts w:ascii="Times New Roman" w:hAnsi="Times New Roman"/>
          <w:sz w:val="28"/>
          <w:szCs w:val="28"/>
        </w:rPr>
      </w:pPr>
    </w:p>
    <w:p w:rsidR="006C02D6" w:rsidRDefault="000225D4" w:rsidP="00A63AFB">
      <w:pPr>
        <w:pStyle w:val="1"/>
      </w:pPr>
      <w:bookmarkStart w:id="84" w:name="_Toc465927702"/>
      <w:r w:rsidRPr="00A63AFB">
        <w:t>18</w:t>
      </w:r>
      <w:r w:rsidR="006C02D6" w:rsidRPr="00A63AFB">
        <w:t>. Управление муниципальным имуществом</w:t>
      </w:r>
      <w:bookmarkEnd w:id="83"/>
      <w:bookmarkEnd w:id="84"/>
    </w:p>
    <w:p w:rsidR="00A63AFB" w:rsidRPr="00A63AFB" w:rsidRDefault="00A63AFB" w:rsidP="00A63AFB"/>
    <w:p w:rsidR="00882A70" w:rsidRPr="00742670" w:rsidRDefault="00882A70" w:rsidP="00882A7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742670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муниципального имущества</w:t>
      </w:r>
      <w:r w:rsidR="00307395">
        <w:rPr>
          <w:rFonts w:ascii="Times New Roman" w:hAnsi="Times New Roman" w:cs="Times New Roman"/>
          <w:sz w:val="28"/>
          <w:szCs w:val="28"/>
        </w:rPr>
        <w:t>,</w:t>
      </w:r>
      <w:r w:rsidRPr="00742670">
        <w:rPr>
          <w:rFonts w:ascii="Times New Roman" w:hAnsi="Times New Roman" w:cs="Times New Roman"/>
          <w:sz w:val="28"/>
          <w:szCs w:val="28"/>
        </w:rPr>
        <w:t xml:space="preserve"> </w:t>
      </w:r>
      <w:r w:rsidR="002A32FD" w:rsidRPr="00742670">
        <w:rPr>
          <w:rFonts w:ascii="Times New Roman" w:eastAsia="Calibri" w:hAnsi="Times New Roman" w:cs="Times New Roman"/>
          <w:bCs/>
          <w:sz w:val="28"/>
          <w:szCs w:val="28"/>
        </w:rPr>
        <w:t xml:space="preserve">обеспечение поступлений доходов от использования муниципального имущества в бюджет городского округа </w:t>
      </w:r>
      <w:r w:rsidR="00D902BA" w:rsidRPr="00742670">
        <w:rPr>
          <w:rFonts w:ascii="Times New Roman" w:hAnsi="Times New Roman" w:cs="Times New Roman"/>
          <w:sz w:val="28"/>
          <w:szCs w:val="28"/>
        </w:rPr>
        <w:t xml:space="preserve">главные </w:t>
      </w:r>
      <w:r w:rsidRPr="00742670">
        <w:rPr>
          <w:rFonts w:ascii="Times New Roman" w:hAnsi="Times New Roman" w:cs="Times New Roman"/>
          <w:sz w:val="28"/>
          <w:szCs w:val="28"/>
        </w:rPr>
        <w:t xml:space="preserve">задач органов администрации городского округа в сфере имущественных и земельных отношений. </w:t>
      </w:r>
      <w:proofErr w:type="gramEnd"/>
    </w:p>
    <w:p w:rsidR="00882A70" w:rsidRPr="00B432E2" w:rsidRDefault="00882A70" w:rsidP="00882A70">
      <w:pPr>
        <w:spacing w:after="60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A72C8D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>01.01.2016</w:t>
      </w:r>
      <w:r w:rsidRPr="00A72C8D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A72C8D">
        <w:rPr>
          <w:rFonts w:ascii="Times New Roman" w:eastAsia="Arial Unicode MS" w:hAnsi="Times New Roman" w:cs="Times New Roman"/>
          <w:sz w:val="28"/>
          <w:szCs w:val="28"/>
        </w:rPr>
        <w:t xml:space="preserve"> Реестре муниципального имущества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Петропавловск-Камчатского </w:t>
      </w:r>
      <w:r w:rsidRPr="00A72C8D">
        <w:rPr>
          <w:rFonts w:ascii="Times New Roman" w:eastAsia="Arial Unicode MS" w:hAnsi="Times New Roman" w:cs="Times New Roman"/>
          <w:sz w:val="28"/>
          <w:szCs w:val="28"/>
        </w:rPr>
        <w:t xml:space="preserve">городского округа значится имущество стоимостью 20 701 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>млн</w:t>
      </w:r>
      <w:proofErr w:type="gramEnd"/>
      <w:r w:rsidRPr="00A72C8D">
        <w:rPr>
          <w:rFonts w:ascii="Times New Roman" w:eastAsia="Arial Unicode MS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Arial Unicode MS" w:hAnsi="Times New Roman" w:cs="Times New Roman"/>
          <w:sz w:val="28"/>
          <w:szCs w:val="28"/>
        </w:rPr>
        <w:t>:</w:t>
      </w:r>
      <w:r w:rsidRPr="00B432E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здания, помещения, муниципальные учреждения, муниципальные унитарные предприятия, сети, акции, автотранспорт и иное имущество.</w:t>
      </w:r>
    </w:p>
    <w:p w:rsidR="003E5BCD" w:rsidRDefault="00882A70" w:rsidP="001B040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A72C8D">
        <w:rPr>
          <w:rFonts w:ascii="Times New Roman" w:eastAsia="Arial Unicode MS" w:hAnsi="Times New Roman" w:cs="Times New Roman"/>
          <w:sz w:val="28"/>
          <w:szCs w:val="28"/>
        </w:rPr>
        <w:t>В течение</w:t>
      </w:r>
      <w:r w:rsidR="003E5BCD">
        <w:rPr>
          <w:rFonts w:ascii="Times New Roman" w:eastAsia="Arial Unicode MS" w:hAnsi="Times New Roman" w:cs="Times New Roman"/>
          <w:sz w:val="28"/>
          <w:szCs w:val="28"/>
        </w:rPr>
        <w:t xml:space="preserve"> 2015</w:t>
      </w:r>
      <w:r w:rsidRPr="00A72C8D">
        <w:rPr>
          <w:rFonts w:ascii="Times New Roman" w:eastAsia="Arial Unicode MS" w:hAnsi="Times New Roman" w:cs="Times New Roman"/>
          <w:sz w:val="28"/>
          <w:szCs w:val="28"/>
        </w:rPr>
        <w:t xml:space="preserve"> года зарегистрировано право собственности на 120 объектов недвижимого имущества (нежилые помещения, здания, сооружения водоснабжения, водоотведения, теплоснабжения).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A72C8D">
        <w:rPr>
          <w:rFonts w:ascii="Times New Roman" w:hAnsi="Times New Roman" w:cs="Times New Roman"/>
          <w:sz w:val="28"/>
          <w:szCs w:val="28"/>
        </w:rPr>
        <w:t xml:space="preserve">Установлено право </w:t>
      </w:r>
      <w:r w:rsidRPr="00A72C8D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собственности на бесхозяйные кабельные </w:t>
      </w:r>
      <w:r w:rsidRPr="003029C8">
        <w:rPr>
          <w:rFonts w:ascii="Times New Roman" w:hAnsi="Times New Roman" w:cs="Times New Roman"/>
          <w:sz w:val="28"/>
          <w:szCs w:val="28"/>
        </w:rPr>
        <w:t>линии в количестве 62 объекта протяженностью</w:t>
      </w:r>
      <w:r>
        <w:rPr>
          <w:rFonts w:ascii="Times New Roman" w:hAnsi="Times New Roman" w:cs="Times New Roman"/>
          <w:sz w:val="28"/>
          <w:szCs w:val="28"/>
        </w:rPr>
        <w:t xml:space="preserve"> 11,9 тыс. км,</w:t>
      </w:r>
      <w:r w:rsidRPr="00A72C8D">
        <w:rPr>
          <w:rFonts w:ascii="Times New Roman" w:hAnsi="Times New Roman" w:cs="Times New Roman"/>
          <w:sz w:val="28"/>
          <w:szCs w:val="28"/>
        </w:rPr>
        <w:t xml:space="preserve"> бесхозяйные объекты недвижимого им</w:t>
      </w:r>
      <w:r>
        <w:rPr>
          <w:rFonts w:ascii="Times New Roman" w:hAnsi="Times New Roman" w:cs="Times New Roman"/>
          <w:sz w:val="28"/>
          <w:szCs w:val="28"/>
        </w:rPr>
        <w:t xml:space="preserve">ущества в количестве </w:t>
      </w:r>
      <w:r w:rsidRPr="003E5BCD">
        <w:rPr>
          <w:rFonts w:ascii="Times New Roman" w:hAnsi="Times New Roman" w:cs="Times New Roman"/>
          <w:sz w:val="28"/>
          <w:szCs w:val="28"/>
        </w:rPr>
        <w:t>2 объекта.</w:t>
      </w:r>
    </w:p>
    <w:p w:rsidR="009A410D" w:rsidRDefault="003E5BCD" w:rsidP="009A410D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3E5BCD">
        <w:rPr>
          <w:rFonts w:ascii="Times New Roman" w:hAnsi="Times New Roman" w:cs="Times New Roman"/>
          <w:sz w:val="28"/>
          <w:szCs w:val="28"/>
        </w:rPr>
        <w:t>В первом полугодии 2016 года</w:t>
      </w:r>
      <w:r w:rsidR="001B0405" w:rsidRPr="003E5BCD">
        <w:rPr>
          <w:rFonts w:ascii="Times New Roman" w:hAnsi="Times New Roman"/>
          <w:sz w:val="28"/>
          <w:szCs w:val="28"/>
        </w:rPr>
        <w:t xml:space="preserve"> </w:t>
      </w:r>
      <w:r w:rsidRPr="003E5BCD">
        <w:rPr>
          <w:rFonts w:ascii="Times New Roman" w:hAnsi="Times New Roman"/>
          <w:sz w:val="28"/>
          <w:szCs w:val="28"/>
        </w:rPr>
        <w:t>поданы документы на</w:t>
      </w:r>
      <w:r w:rsidR="001B0405" w:rsidRPr="003E5BCD">
        <w:rPr>
          <w:rFonts w:ascii="Times New Roman" w:hAnsi="Times New Roman"/>
          <w:sz w:val="28"/>
          <w:szCs w:val="28"/>
        </w:rPr>
        <w:t xml:space="preserve"> регистраци</w:t>
      </w:r>
      <w:r w:rsidRPr="003E5BCD">
        <w:rPr>
          <w:rFonts w:ascii="Times New Roman" w:hAnsi="Times New Roman"/>
          <w:sz w:val="28"/>
          <w:szCs w:val="28"/>
        </w:rPr>
        <w:t>ю</w:t>
      </w:r>
      <w:r w:rsidR="001B0405" w:rsidRPr="003E5BCD">
        <w:rPr>
          <w:rFonts w:ascii="Times New Roman" w:hAnsi="Times New Roman"/>
          <w:sz w:val="28"/>
          <w:szCs w:val="28"/>
        </w:rPr>
        <w:t xml:space="preserve"> права собственности городского округа по 57 объектам недвижимого имущества, в судебном порядке признано право собственности городского округа на 50 участ</w:t>
      </w:r>
      <w:r w:rsidR="00BA1482">
        <w:rPr>
          <w:rFonts w:ascii="Times New Roman" w:hAnsi="Times New Roman"/>
          <w:sz w:val="28"/>
          <w:szCs w:val="28"/>
        </w:rPr>
        <w:t>ков бесхозяйных каб</w:t>
      </w:r>
      <w:r w:rsidR="009A3EA8">
        <w:rPr>
          <w:rFonts w:ascii="Times New Roman" w:hAnsi="Times New Roman"/>
          <w:sz w:val="28"/>
          <w:szCs w:val="28"/>
        </w:rPr>
        <w:t>е</w:t>
      </w:r>
      <w:r w:rsidR="009A410D">
        <w:rPr>
          <w:rFonts w:ascii="Times New Roman" w:hAnsi="Times New Roman"/>
          <w:sz w:val="28"/>
          <w:szCs w:val="28"/>
        </w:rPr>
        <w:t xml:space="preserve">льных линий, проводятся мероприятия </w:t>
      </w:r>
      <w:r w:rsidR="009A410D" w:rsidRPr="008B494D">
        <w:rPr>
          <w:rFonts w:ascii="Times New Roman" w:hAnsi="Times New Roman"/>
          <w:sz w:val="28"/>
          <w:szCs w:val="28"/>
        </w:rPr>
        <w:t xml:space="preserve">по постановке на кадастровый учет объектов </w:t>
      </w:r>
      <w:r w:rsidR="009A410D">
        <w:rPr>
          <w:rFonts w:ascii="Times New Roman" w:hAnsi="Times New Roman"/>
          <w:sz w:val="28"/>
          <w:szCs w:val="28"/>
        </w:rPr>
        <w:t>т</w:t>
      </w:r>
      <w:r w:rsidR="009A410D" w:rsidRPr="008B494D">
        <w:rPr>
          <w:rFonts w:ascii="Times New Roman" w:hAnsi="Times New Roman"/>
          <w:sz w:val="28"/>
          <w:szCs w:val="28"/>
        </w:rPr>
        <w:t>еплоснабжения, расположенных на территории городского округа</w:t>
      </w:r>
      <w:r w:rsidR="009A410D">
        <w:rPr>
          <w:rFonts w:ascii="Times New Roman" w:hAnsi="Times New Roman"/>
          <w:sz w:val="28"/>
          <w:szCs w:val="28"/>
        </w:rPr>
        <w:t>.</w:t>
      </w:r>
      <w:proofErr w:type="gramEnd"/>
    </w:p>
    <w:p w:rsidR="003E5BCD" w:rsidRPr="00A72C8D" w:rsidRDefault="009A410D" w:rsidP="009A410D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Осуществляется</w:t>
      </w:r>
      <w:r w:rsidR="003E5BCD" w:rsidRPr="00A72C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E5BCD">
        <w:rPr>
          <w:rFonts w:ascii="Times New Roman" w:eastAsia="Calibri" w:hAnsi="Times New Roman" w:cs="Times New Roman"/>
          <w:color w:val="000000"/>
          <w:sz w:val="28"/>
          <w:szCs w:val="28"/>
        </w:rPr>
        <w:t>приватизация</w:t>
      </w:r>
      <w:r w:rsidR="003E5BCD" w:rsidRPr="00A72C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имущества в связи с разграничением полномочий между органами государственной власти и органами местного самоуправления:</w:t>
      </w:r>
      <w:r w:rsidR="003E5B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D3F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2015 году </w:t>
      </w:r>
      <w:r w:rsidR="003E5BCD" w:rsidRPr="00A72C8D">
        <w:rPr>
          <w:rFonts w:ascii="Times New Roman" w:eastAsia="Calibri" w:hAnsi="Times New Roman" w:cs="Times New Roman"/>
          <w:color w:val="000000"/>
          <w:sz w:val="28"/>
          <w:szCs w:val="28"/>
        </w:rPr>
        <w:t>в собственность городского округа приняты объекты недвижимого имущества общей балансовой стоимостью 63 935 тысяч рублей; в собственность Камчатского края безвозмездно передан</w:t>
      </w:r>
      <w:r w:rsidR="00E623B6">
        <w:rPr>
          <w:rFonts w:ascii="Times New Roman" w:eastAsia="Calibri" w:hAnsi="Times New Roman" w:cs="Times New Roman"/>
          <w:color w:val="000000"/>
          <w:sz w:val="28"/>
          <w:szCs w:val="28"/>
        </w:rPr>
        <w:t>ы:</w:t>
      </w:r>
      <w:r w:rsidR="003E5BCD" w:rsidRPr="00A72C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E5B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одно </w:t>
      </w:r>
      <w:r w:rsidR="00E623B6">
        <w:rPr>
          <w:rFonts w:ascii="Times New Roman" w:eastAsia="Calibri" w:hAnsi="Times New Roman" w:cs="Times New Roman"/>
          <w:color w:val="000000"/>
          <w:sz w:val="28"/>
          <w:szCs w:val="28"/>
        </w:rPr>
        <w:t>нежилое</w:t>
      </w:r>
      <w:r w:rsidR="003E5BCD" w:rsidRPr="00A72C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поме</w:t>
      </w:r>
      <w:r w:rsidR="003E5BCD">
        <w:rPr>
          <w:rFonts w:ascii="Times New Roman" w:eastAsia="Calibri" w:hAnsi="Times New Roman" w:cs="Times New Roman"/>
          <w:color w:val="000000"/>
          <w:sz w:val="28"/>
          <w:szCs w:val="28"/>
        </w:rPr>
        <w:t>щение</w:t>
      </w:r>
      <w:r w:rsidR="003E5BCD" w:rsidRPr="00A72C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E5BCD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="003E5BCD" w:rsidRPr="00A72C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муниципальное унитарное предприятие «Петропавловский водоканал».</w:t>
      </w:r>
      <w:proofErr w:type="gramEnd"/>
    </w:p>
    <w:p w:rsidR="003E5BCD" w:rsidRPr="003E5BCD" w:rsidRDefault="003E5BCD" w:rsidP="003E5BCD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E5BCD">
        <w:rPr>
          <w:rFonts w:ascii="Times New Roman" w:hAnsi="Times New Roman"/>
          <w:sz w:val="28"/>
          <w:szCs w:val="28"/>
        </w:rPr>
        <w:t>В прогнозном периоде планируется и далее совершенствовать работу по ведению Реестра муниципального имущества и учету муниципального имущества</w:t>
      </w:r>
      <w:r w:rsidR="00307395">
        <w:rPr>
          <w:rFonts w:ascii="Times New Roman" w:hAnsi="Times New Roman"/>
          <w:sz w:val="28"/>
          <w:szCs w:val="28"/>
        </w:rPr>
        <w:t xml:space="preserve"> </w:t>
      </w:r>
      <w:r w:rsidRPr="003E5BCD">
        <w:rPr>
          <w:rFonts w:ascii="Times New Roman" w:hAnsi="Times New Roman"/>
          <w:sz w:val="28"/>
          <w:szCs w:val="28"/>
        </w:rPr>
        <w:t>путем проведения кадастровых работ по постановке на кадастровый учет инженерных сетей тепл</w:t>
      </w:r>
      <w:proofErr w:type="gramStart"/>
      <w:r w:rsidRPr="003E5BCD">
        <w:rPr>
          <w:rFonts w:ascii="Times New Roman" w:hAnsi="Times New Roman"/>
          <w:sz w:val="28"/>
          <w:szCs w:val="28"/>
        </w:rPr>
        <w:t>о-</w:t>
      </w:r>
      <w:proofErr w:type="gramEnd"/>
      <w:r w:rsidRPr="003E5BCD">
        <w:rPr>
          <w:rFonts w:ascii="Times New Roman" w:hAnsi="Times New Roman"/>
          <w:sz w:val="28"/>
          <w:szCs w:val="28"/>
        </w:rPr>
        <w:t xml:space="preserve"> электро- снабжения и иных коммунальных объектов, автомобильных дорог, внутриквартальных проездов с учетом выделенных бюджетных средств на эти цели.</w:t>
      </w:r>
    </w:p>
    <w:p w:rsidR="009A410D" w:rsidRDefault="009A3EA8" w:rsidP="00784CE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784CED">
        <w:rPr>
          <w:rFonts w:ascii="Times New Roman" w:hAnsi="Times New Roman" w:cs="Times New Roman"/>
          <w:sz w:val="28"/>
          <w:szCs w:val="28"/>
        </w:rPr>
        <w:t>Количество муниципальных унитарных предприятий (</w:t>
      </w:r>
      <w:r w:rsidR="00784CED">
        <w:rPr>
          <w:rFonts w:ascii="Times New Roman" w:hAnsi="Times New Roman" w:cs="Times New Roman"/>
          <w:sz w:val="28"/>
          <w:szCs w:val="28"/>
        </w:rPr>
        <w:t xml:space="preserve">далее - </w:t>
      </w:r>
      <w:r w:rsidRPr="00784CED">
        <w:rPr>
          <w:rFonts w:ascii="Times New Roman" w:hAnsi="Times New Roman" w:cs="Times New Roman"/>
          <w:sz w:val="28"/>
          <w:szCs w:val="28"/>
        </w:rPr>
        <w:t>МУП) городского округа составл</w:t>
      </w:r>
      <w:r w:rsidR="009A410D">
        <w:rPr>
          <w:rFonts w:ascii="Times New Roman" w:hAnsi="Times New Roman" w:cs="Times New Roman"/>
          <w:sz w:val="28"/>
          <w:szCs w:val="28"/>
        </w:rPr>
        <w:t>яет</w:t>
      </w:r>
      <w:r w:rsidRPr="00784CED">
        <w:rPr>
          <w:rFonts w:ascii="Times New Roman" w:hAnsi="Times New Roman" w:cs="Times New Roman"/>
          <w:sz w:val="28"/>
          <w:szCs w:val="28"/>
        </w:rPr>
        <w:t xml:space="preserve"> 11 единиц, из которых 8 - действующие предприятия, 3 </w:t>
      </w:r>
      <w:r w:rsidR="009A410D">
        <w:rPr>
          <w:rFonts w:ascii="Times New Roman" w:hAnsi="Times New Roman" w:cs="Times New Roman"/>
          <w:sz w:val="28"/>
          <w:szCs w:val="28"/>
        </w:rPr>
        <w:t>-</w:t>
      </w:r>
      <w:r w:rsidRPr="00784CED">
        <w:rPr>
          <w:rFonts w:ascii="Times New Roman" w:hAnsi="Times New Roman" w:cs="Times New Roman"/>
          <w:sz w:val="28"/>
          <w:szCs w:val="28"/>
        </w:rPr>
        <w:t xml:space="preserve"> находящиеся на различных стадиях процедуры банкротства</w:t>
      </w:r>
      <w:r w:rsidR="009A41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66C3" w:rsidRDefault="00492E7A" w:rsidP="003C66C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В</w:t>
      </w:r>
      <w:r w:rsidR="00784CED" w:rsidRPr="00784CED">
        <w:rPr>
          <w:rFonts w:ascii="Times New Roman" w:hAnsi="Times New Roman" w:cs="Times New Roman"/>
          <w:spacing w:val="2"/>
          <w:sz w:val="28"/>
          <w:szCs w:val="28"/>
        </w:rPr>
        <w:t xml:space="preserve"> 2016 год</w:t>
      </w:r>
      <w:r w:rsidR="00E623B6">
        <w:rPr>
          <w:rFonts w:ascii="Times New Roman" w:hAnsi="Times New Roman" w:cs="Times New Roman"/>
          <w:spacing w:val="2"/>
          <w:sz w:val="28"/>
          <w:szCs w:val="28"/>
        </w:rPr>
        <w:t>у</w:t>
      </w:r>
      <w:r w:rsidR="00784CED" w:rsidRPr="00784CED">
        <w:rPr>
          <w:rFonts w:ascii="Times New Roman" w:hAnsi="Times New Roman" w:cs="Times New Roman"/>
          <w:spacing w:val="2"/>
          <w:sz w:val="28"/>
          <w:szCs w:val="28"/>
        </w:rPr>
        <w:t xml:space="preserve"> сумма </w:t>
      </w:r>
      <w:r>
        <w:rPr>
          <w:rFonts w:ascii="Times New Roman" w:hAnsi="Times New Roman" w:cs="Times New Roman"/>
          <w:spacing w:val="2"/>
          <w:sz w:val="28"/>
          <w:szCs w:val="28"/>
        </w:rPr>
        <w:t>поступлений</w:t>
      </w:r>
      <w:r w:rsidR="00784CED" w:rsidRPr="00784CED">
        <w:rPr>
          <w:rFonts w:ascii="Times New Roman" w:hAnsi="Times New Roman" w:cs="Times New Roman"/>
          <w:spacing w:val="2"/>
          <w:sz w:val="28"/>
          <w:szCs w:val="28"/>
        </w:rPr>
        <w:t xml:space="preserve"> от прибыли МУП в бюджет </w:t>
      </w:r>
      <w:r w:rsidR="00784CED">
        <w:rPr>
          <w:rFonts w:ascii="Times New Roman" w:hAnsi="Times New Roman" w:cs="Times New Roman"/>
          <w:spacing w:val="2"/>
          <w:sz w:val="28"/>
          <w:szCs w:val="28"/>
        </w:rPr>
        <w:t>городского округа</w:t>
      </w:r>
      <w:r w:rsidR="00784CED" w:rsidRPr="00784CED">
        <w:rPr>
          <w:rFonts w:ascii="Times New Roman" w:hAnsi="Times New Roman" w:cs="Times New Roman"/>
          <w:spacing w:val="2"/>
          <w:sz w:val="28"/>
          <w:szCs w:val="28"/>
        </w:rPr>
        <w:t xml:space="preserve"> ожидается в размере </w:t>
      </w:r>
      <w:r>
        <w:rPr>
          <w:rFonts w:ascii="Times New Roman" w:hAnsi="Times New Roman" w:cs="Times New Roman"/>
          <w:spacing w:val="2"/>
          <w:sz w:val="28"/>
          <w:szCs w:val="28"/>
        </w:rPr>
        <w:t>11,8</w:t>
      </w:r>
      <w:r w:rsidR="00784CED" w:rsidRPr="00784CED">
        <w:rPr>
          <w:rFonts w:ascii="Times New Roman" w:hAnsi="Times New Roman" w:cs="Times New Roman"/>
          <w:spacing w:val="2"/>
          <w:sz w:val="28"/>
          <w:szCs w:val="28"/>
        </w:rPr>
        <w:t xml:space="preserve"> млн. рублей, что </w:t>
      </w:r>
      <w:r>
        <w:rPr>
          <w:rFonts w:ascii="Times New Roman" w:hAnsi="Times New Roman" w:cs="Times New Roman"/>
          <w:spacing w:val="2"/>
          <w:sz w:val="28"/>
          <w:szCs w:val="28"/>
        </w:rPr>
        <w:t>в 10,0 раз больше по</w:t>
      </w:r>
      <w:r w:rsidR="00784CED" w:rsidRPr="00784CED">
        <w:rPr>
          <w:rFonts w:ascii="Times New Roman" w:hAnsi="Times New Roman" w:cs="Times New Roman"/>
          <w:spacing w:val="2"/>
          <w:sz w:val="28"/>
          <w:szCs w:val="28"/>
        </w:rPr>
        <w:t xml:space="preserve"> сравнени</w:t>
      </w:r>
      <w:r>
        <w:rPr>
          <w:rFonts w:ascii="Times New Roman" w:hAnsi="Times New Roman" w:cs="Times New Roman"/>
          <w:spacing w:val="2"/>
          <w:sz w:val="28"/>
          <w:szCs w:val="28"/>
        </w:rPr>
        <w:t>ю</w:t>
      </w:r>
      <w:r w:rsidR="00784CED" w:rsidRPr="00784CED">
        <w:rPr>
          <w:rFonts w:ascii="Times New Roman" w:hAnsi="Times New Roman" w:cs="Times New Roman"/>
          <w:spacing w:val="2"/>
          <w:sz w:val="28"/>
          <w:szCs w:val="28"/>
        </w:rPr>
        <w:t xml:space="preserve"> с 2015 годом.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Увеличение сложилось, в основном, за счет поступлений задолженности за 2012-2013 годы от МУП «Петропавловский водоканал»</w:t>
      </w:r>
      <w:r w:rsidR="009A410D">
        <w:rPr>
          <w:rFonts w:ascii="Times New Roman" w:hAnsi="Times New Roman" w:cs="Times New Roman"/>
          <w:spacing w:val="2"/>
          <w:sz w:val="28"/>
          <w:szCs w:val="28"/>
        </w:rPr>
        <w:t xml:space="preserve"> по исполнительным листам</w:t>
      </w:r>
      <w:r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3C66C3" w:rsidRDefault="00307395" w:rsidP="003C66C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о</w:t>
      </w:r>
      <w:r w:rsidR="003C66C3" w:rsidRPr="00B21E88">
        <w:rPr>
          <w:rFonts w:ascii="Times New Roman" w:hAnsi="Times New Roman"/>
          <w:sz w:val="28"/>
          <w:szCs w:val="28"/>
        </w:rPr>
        <w:t xml:space="preserve">птимизация МУП проводится путем ликвидации муниципальных предприятий (банкротство) и реорганизации. В 2016 году </w:t>
      </w:r>
      <w:r w:rsidR="00E623B6">
        <w:rPr>
          <w:rFonts w:ascii="Times New Roman" w:hAnsi="Times New Roman"/>
          <w:sz w:val="28"/>
          <w:szCs w:val="28"/>
        </w:rPr>
        <w:t xml:space="preserve">                  </w:t>
      </w:r>
      <w:r w:rsidR="003C66C3" w:rsidRPr="00CA379F">
        <w:rPr>
          <w:rFonts w:ascii="Times New Roman" w:hAnsi="Times New Roman"/>
          <w:sz w:val="28"/>
          <w:szCs w:val="28"/>
        </w:rPr>
        <w:t>МУП «</w:t>
      </w:r>
      <w:proofErr w:type="spellStart"/>
      <w:r w:rsidR="003C66C3" w:rsidRPr="00CA379F">
        <w:rPr>
          <w:rFonts w:ascii="Times New Roman" w:hAnsi="Times New Roman"/>
          <w:sz w:val="28"/>
          <w:szCs w:val="28"/>
        </w:rPr>
        <w:t>Спецремстрой</w:t>
      </w:r>
      <w:proofErr w:type="spellEnd"/>
      <w:r w:rsidR="003C66C3" w:rsidRPr="00CA379F">
        <w:rPr>
          <w:rFonts w:ascii="Times New Roman" w:hAnsi="Times New Roman" w:cs="Times New Roman"/>
          <w:sz w:val="28"/>
          <w:szCs w:val="28"/>
        </w:rPr>
        <w:t>» преобразован</w:t>
      </w:r>
      <w:r w:rsidR="003C66C3" w:rsidRPr="00CA379F">
        <w:rPr>
          <w:rFonts w:ascii="Times New Roman" w:hAnsi="Times New Roman"/>
          <w:sz w:val="28"/>
          <w:szCs w:val="28"/>
        </w:rPr>
        <w:t xml:space="preserve"> путем слияния с МУП </w:t>
      </w:r>
      <w:r w:rsidR="003C66C3">
        <w:rPr>
          <w:rFonts w:ascii="Times New Roman" w:hAnsi="Times New Roman"/>
          <w:sz w:val="28"/>
          <w:szCs w:val="28"/>
        </w:rPr>
        <w:t>«</w:t>
      </w:r>
      <w:r w:rsidR="003C66C3" w:rsidRPr="00CA379F">
        <w:rPr>
          <w:rFonts w:ascii="Times New Roman" w:hAnsi="Times New Roman"/>
          <w:sz w:val="28"/>
          <w:szCs w:val="28"/>
        </w:rPr>
        <w:t>Лотос-М</w:t>
      </w:r>
      <w:r>
        <w:rPr>
          <w:rFonts w:ascii="Times New Roman" w:hAnsi="Times New Roman"/>
          <w:sz w:val="28"/>
          <w:szCs w:val="28"/>
        </w:rPr>
        <w:t>»</w:t>
      </w:r>
      <w:r w:rsidR="003C66C3">
        <w:rPr>
          <w:rFonts w:ascii="Times New Roman" w:hAnsi="Times New Roman"/>
          <w:sz w:val="28"/>
          <w:szCs w:val="28"/>
        </w:rPr>
        <w:t>,</w:t>
      </w:r>
      <w:r w:rsidR="003C66C3" w:rsidRPr="00B21E88">
        <w:rPr>
          <w:rFonts w:ascii="Times New Roman" w:hAnsi="Times New Roman"/>
          <w:sz w:val="28"/>
          <w:szCs w:val="28"/>
        </w:rPr>
        <w:t xml:space="preserve"> будут исключены из Единого государственного реестра юридических лиц </w:t>
      </w:r>
      <w:r w:rsidR="00E623B6">
        <w:rPr>
          <w:rFonts w:ascii="Times New Roman" w:hAnsi="Times New Roman"/>
          <w:sz w:val="28"/>
          <w:szCs w:val="28"/>
        </w:rPr>
        <w:t xml:space="preserve">              </w:t>
      </w:r>
      <w:r w:rsidR="003C66C3" w:rsidRPr="00B21E88">
        <w:rPr>
          <w:rFonts w:ascii="Times New Roman" w:hAnsi="Times New Roman"/>
          <w:sz w:val="28"/>
          <w:szCs w:val="28"/>
        </w:rPr>
        <w:t>МУП «Лотос» и МУП «Хариус-продукт», не ведущие хозяйственную деятельность</w:t>
      </w:r>
      <w:r w:rsidR="003C66C3">
        <w:rPr>
          <w:rFonts w:ascii="Times New Roman" w:hAnsi="Times New Roman"/>
          <w:sz w:val="28"/>
          <w:szCs w:val="28"/>
        </w:rPr>
        <w:t>, также п</w:t>
      </w:r>
      <w:r w:rsidR="003C66C3" w:rsidRPr="00B21E88">
        <w:rPr>
          <w:rFonts w:ascii="Times New Roman" w:hAnsi="Times New Roman"/>
          <w:sz w:val="28"/>
          <w:szCs w:val="28"/>
        </w:rPr>
        <w:t xml:space="preserve">ланируется завершить процедуру банкротства </w:t>
      </w:r>
      <w:r w:rsidR="00E623B6">
        <w:rPr>
          <w:rFonts w:ascii="Times New Roman" w:hAnsi="Times New Roman"/>
          <w:sz w:val="28"/>
          <w:szCs w:val="28"/>
        </w:rPr>
        <w:t xml:space="preserve">                    </w:t>
      </w:r>
      <w:r w:rsidR="003C66C3" w:rsidRPr="00B21E88">
        <w:rPr>
          <w:rFonts w:ascii="Times New Roman" w:hAnsi="Times New Roman"/>
          <w:sz w:val="28"/>
          <w:szCs w:val="28"/>
        </w:rPr>
        <w:t>МУП «</w:t>
      </w:r>
      <w:proofErr w:type="spellStart"/>
      <w:r w:rsidR="003C66C3" w:rsidRPr="00B21E88">
        <w:rPr>
          <w:rFonts w:ascii="Times New Roman" w:hAnsi="Times New Roman"/>
          <w:sz w:val="28"/>
          <w:szCs w:val="28"/>
        </w:rPr>
        <w:t>Горсеть</w:t>
      </w:r>
      <w:proofErr w:type="spellEnd"/>
      <w:r w:rsidR="003C66C3" w:rsidRPr="00B21E88">
        <w:rPr>
          <w:rFonts w:ascii="Times New Roman" w:hAnsi="Times New Roman"/>
          <w:sz w:val="28"/>
          <w:szCs w:val="28"/>
        </w:rPr>
        <w:t>»</w:t>
      </w:r>
      <w:r w:rsidR="003C66C3">
        <w:rPr>
          <w:rFonts w:ascii="Times New Roman" w:hAnsi="Times New Roman"/>
          <w:sz w:val="28"/>
          <w:szCs w:val="28"/>
        </w:rPr>
        <w:t>.</w:t>
      </w:r>
      <w:r w:rsidR="003C66C3" w:rsidRPr="00B21E88">
        <w:rPr>
          <w:rFonts w:ascii="Times New Roman" w:hAnsi="Times New Roman"/>
          <w:sz w:val="28"/>
          <w:szCs w:val="28"/>
        </w:rPr>
        <w:t xml:space="preserve"> Проводятся ликвидационные мероприятия в муниципальных учреждениях МАУ «УЖКХ» и МУ «Дирекция службы заказчика».</w:t>
      </w:r>
      <w:r w:rsidR="003C66C3">
        <w:rPr>
          <w:rFonts w:ascii="Times New Roman" w:hAnsi="Times New Roman"/>
          <w:sz w:val="28"/>
          <w:szCs w:val="28"/>
        </w:rPr>
        <w:t xml:space="preserve"> </w:t>
      </w:r>
    </w:p>
    <w:p w:rsidR="003C66C3" w:rsidRDefault="003C66C3" w:rsidP="003C66C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21E88">
        <w:rPr>
          <w:rFonts w:ascii="Times New Roman" w:hAnsi="Times New Roman" w:cs="Times New Roman"/>
          <w:sz w:val="28"/>
          <w:szCs w:val="28"/>
        </w:rPr>
        <w:t xml:space="preserve">В </w:t>
      </w:r>
      <w:r w:rsidR="00307395">
        <w:rPr>
          <w:rFonts w:ascii="Times New Roman" w:hAnsi="Times New Roman" w:cs="Times New Roman"/>
          <w:sz w:val="28"/>
          <w:szCs w:val="28"/>
        </w:rPr>
        <w:t>среднесрочный период</w:t>
      </w:r>
      <w:r w:rsidRPr="00B21E88">
        <w:rPr>
          <w:rFonts w:ascii="Times New Roman" w:hAnsi="Times New Roman" w:cs="Times New Roman"/>
          <w:sz w:val="28"/>
          <w:szCs w:val="28"/>
        </w:rPr>
        <w:t xml:space="preserve"> </w:t>
      </w:r>
      <w:r w:rsidR="00307395">
        <w:rPr>
          <w:rFonts w:ascii="Times New Roman" w:hAnsi="Times New Roman" w:cs="Times New Roman"/>
          <w:sz w:val="28"/>
          <w:szCs w:val="28"/>
        </w:rPr>
        <w:t>(</w:t>
      </w:r>
      <w:r w:rsidRPr="00B21E88">
        <w:rPr>
          <w:rFonts w:ascii="Times New Roman" w:hAnsi="Times New Roman" w:cs="Times New Roman"/>
          <w:sz w:val="28"/>
          <w:szCs w:val="28"/>
        </w:rPr>
        <w:t>2017–2019 годов</w:t>
      </w:r>
      <w:r w:rsidR="00307395">
        <w:rPr>
          <w:rFonts w:ascii="Times New Roman" w:hAnsi="Times New Roman" w:cs="Times New Roman"/>
          <w:sz w:val="28"/>
          <w:szCs w:val="28"/>
        </w:rPr>
        <w:t>)</w:t>
      </w:r>
      <w:r w:rsidRPr="00B21E88">
        <w:rPr>
          <w:rFonts w:ascii="Times New Roman" w:hAnsi="Times New Roman" w:cs="Times New Roman"/>
          <w:sz w:val="28"/>
          <w:szCs w:val="28"/>
        </w:rPr>
        <w:t xml:space="preserve"> будет осуществляться дальнейшая оптимизация структуры МУП с </w:t>
      </w:r>
      <w:r w:rsidRPr="00CA379F">
        <w:rPr>
          <w:rFonts w:ascii="Times New Roman" w:hAnsi="Times New Roman" w:cs="Times New Roman"/>
          <w:sz w:val="28"/>
          <w:szCs w:val="28"/>
        </w:rPr>
        <w:t>учетом их экономической</w:t>
      </w:r>
      <w:r w:rsidRPr="00B21E88">
        <w:rPr>
          <w:rFonts w:ascii="Times New Roman" w:hAnsi="Times New Roman" w:cs="Times New Roman"/>
          <w:sz w:val="28"/>
          <w:szCs w:val="28"/>
        </w:rPr>
        <w:t xml:space="preserve"> и социальной значимости для интересов городского округа.</w:t>
      </w:r>
    </w:p>
    <w:p w:rsidR="006C02D6" w:rsidRPr="00B649C9" w:rsidRDefault="006C02D6" w:rsidP="00C535B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07395">
        <w:rPr>
          <w:rFonts w:ascii="Times New Roman" w:hAnsi="Times New Roman"/>
          <w:sz w:val="28"/>
          <w:szCs w:val="28"/>
        </w:rPr>
        <w:t xml:space="preserve">На 01.01.2016 в городском округе </w:t>
      </w:r>
      <w:r w:rsidRPr="00307395">
        <w:rPr>
          <w:rFonts w:ascii="Times New Roman" w:hAnsi="Times New Roman" w:cs="Times New Roman"/>
          <w:sz w:val="28"/>
          <w:szCs w:val="28"/>
        </w:rPr>
        <w:t>зарегистрировано 1</w:t>
      </w:r>
      <w:r w:rsidR="00B21E88" w:rsidRPr="00307395">
        <w:rPr>
          <w:rFonts w:ascii="Times New Roman" w:hAnsi="Times New Roman" w:cs="Times New Roman"/>
          <w:sz w:val="28"/>
          <w:szCs w:val="28"/>
        </w:rPr>
        <w:t>36</w:t>
      </w:r>
      <w:r w:rsidRPr="00307395">
        <w:rPr>
          <w:rFonts w:ascii="Times New Roman" w:hAnsi="Times New Roman" w:cs="Times New Roman"/>
          <w:sz w:val="28"/>
          <w:szCs w:val="28"/>
        </w:rPr>
        <w:t xml:space="preserve"> организаций муниципальной формы собственности. </w:t>
      </w:r>
      <w:proofErr w:type="gramStart"/>
      <w:r w:rsidRPr="00307395">
        <w:rPr>
          <w:rFonts w:ascii="Times New Roman" w:hAnsi="Times New Roman" w:cs="Times New Roman"/>
          <w:sz w:val="28"/>
          <w:szCs w:val="28"/>
        </w:rPr>
        <w:t>Из них</w:t>
      </w:r>
      <w:r w:rsidRPr="00B649C9">
        <w:rPr>
          <w:rFonts w:ascii="Times New Roman" w:hAnsi="Times New Roman" w:cs="Times New Roman"/>
          <w:sz w:val="28"/>
          <w:szCs w:val="28"/>
        </w:rPr>
        <w:t xml:space="preserve">, муниципальных учреждений образования </w:t>
      </w:r>
      <w:r w:rsidR="00B649C9">
        <w:rPr>
          <w:rFonts w:ascii="Times New Roman" w:hAnsi="Times New Roman" w:cs="Times New Roman"/>
          <w:sz w:val="28"/>
          <w:szCs w:val="28"/>
        </w:rPr>
        <w:t>-</w:t>
      </w:r>
      <w:r w:rsidRPr="00B649C9">
        <w:rPr>
          <w:rFonts w:ascii="Times New Roman" w:hAnsi="Times New Roman" w:cs="Times New Roman"/>
          <w:sz w:val="28"/>
          <w:szCs w:val="28"/>
        </w:rPr>
        <w:t xml:space="preserve"> 94</w:t>
      </w:r>
      <w:r w:rsidR="00B649C9" w:rsidRPr="00B649C9">
        <w:rPr>
          <w:rFonts w:ascii="Times New Roman" w:hAnsi="Times New Roman" w:cs="Times New Roman"/>
          <w:sz w:val="28"/>
          <w:szCs w:val="28"/>
        </w:rPr>
        <w:t xml:space="preserve"> ед.</w:t>
      </w:r>
      <w:r w:rsidRPr="00B649C9">
        <w:rPr>
          <w:rFonts w:ascii="Times New Roman" w:hAnsi="Times New Roman" w:cs="Times New Roman"/>
          <w:sz w:val="28"/>
          <w:szCs w:val="28"/>
        </w:rPr>
        <w:t xml:space="preserve">, учреждений культуры </w:t>
      </w:r>
      <w:r w:rsidR="006F4318" w:rsidRPr="00B649C9">
        <w:rPr>
          <w:rFonts w:ascii="Times New Roman" w:hAnsi="Times New Roman" w:cs="Times New Roman"/>
          <w:sz w:val="28"/>
          <w:szCs w:val="28"/>
        </w:rPr>
        <w:t>-</w:t>
      </w:r>
      <w:r w:rsidR="00492E7A" w:rsidRPr="00B649C9">
        <w:rPr>
          <w:rFonts w:ascii="Times New Roman" w:hAnsi="Times New Roman" w:cs="Times New Roman"/>
          <w:sz w:val="28"/>
          <w:szCs w:val="28"/>
        </w:rPr>
        <w:t xml:space="preserve"> 14</w:t>
      </w:r>
      <w:r w:rsidR="00B649C9" w:rsidRPr="00B649C9">
        <w:rPr>
          <w:rFonts w:ascii="Times New Roman" w:hAnsi="Times New Roman" w:cs="Times New Roman"/>
          <w:sz w:val="28"/>
          <w:szCs w:val="28"/>
        </w:rPr>
        <w:t xml:space="preserve"> ед.</w:t>
      </w:r>
      <w:r w:rsidR="000A0C54" w:rsidRPr="00B649C9">
        <w:rPr>
          <w:rFonts w:ascii="Times New Roman" w:hAnsi="Times New Roman" w:cs="Times New Roman"/>
          <w:sz w:val="28"/>
          <w:szCs w:val="28"/>
        </w:rPr>
        <w:t>, учреждений жилищно-коммунального хозяйства - 2</w:t>
      </w:r>
      <w:r w:rsidR="00B649C9" w:rsidRPr="00B649C9">
        <w:rPr>
          <w:rFonts w:ascii="Times New Roman" w:hAnsi="Times New Roman" w:cs="Times New Roman"/>
          <w:sz w:val="28"/>
          <w:szCs w:val="28"/>
        </w:rPr>
        <w:t xml:space="preserve"> ед.</w:t>
      </w:r>
      <w:r w:rsidR="000A0C54" w:rsidRPr="00B649C9">
        <w:rPr>
          <w:rFonts w:ascii="Times New Roman" w:hAnsi="Times New Roman" w:cs="Times New Roman"/>
          <w:sz w:val="28"/>
          <w:szCs w:val="28"/>
        </w:rPr>
        <w:t xml:space="preserve">, строительства </w:t>
      </w:r>
      <w:r w:rsidR="00B649C9" w:rsidRPr="00B649C9">
        <w:rPr>
          <w:rFonts w:ascii="Times New Roman" w:hAnsi="Times New Roman" w:cs="Times New Roman"/>
          <w:sz w:val="28"/>
          <w:szCs w:val="28"/>
        </w:rPr>
        <w:t>-</w:t>
      </w:r>
      <w:r w:rsidR="000A0C54" w:rsidRPr="00B649C9">
        <w:rPr>
          <w:rFonts w:ascii="Times New Roman" w:hAnsi="Times New Roman" w:cs="Times New Roman"/>
          <w:sz w:val="28"/>
          <w:szCs w:val="28"/>
        </w:rPr>
        <w:t xml:space="preserve"> 1</w:t>
      </w:r>
      <w:r w:rsidR="00B649C9" w:rsidRPr="00B649C9">
        <w:rPr>
          <w:rFonts w:ascii="Times New Roman" w:hAnsi="Times New Roman" w:cs="Times New Roman"/>
          <w:sz w:val="28"/>
          <w:szCs w:val="28"/>
        </w:rPr>
        <w:t xml:space="preserve"> ед.</w:t>
      </w:r>
      <w:r w:rsidR="000A0C54" w:rsidRPr="00B649C9">
        <w:rPr>
          <w:rFonts w:ascii="Times New Roman" w:hAnsi="Times New Roman" w:cs="Times New Roman"/>
          <w:sz w:val="28"/>
          <w:szCs w:val="28"/>
        </w:rPr>
        <w:t>, транспорта - 2</w:t>
      </w:r>
      <w:r w:rsidR="00B649C9" w:rsidRPr="00B649C9">
        <w:rPr>
          <w:rFonts w:ascii="Times New Roman" w:hAnsi="Times New Roman" w:cs="Times New Roman"/>
          <w:sz w:val="28"/>
          <w:szCs w:val="28"/>
        </w:rPr>
        <w:t xml:space="preserve"> ед.</w:t>
      </w:r>
      <w:r w:rsidR="000A0C54" w:rsidRPr="00B649C9">
        <w:rPr>
          <w:rFonts w:ascii="Times New Roman" w:hAnsi="Times New Roman" w:cs="Times New Roman"/>
          <w:sz w:val="28"/>
          <w:szCs w:val="28"/>
        </w:rPr>
        <w:t>,</w:t>
      </w:r>
      <w:r w:rsidR="00B649C9" w:rsidRPr="00B649C9">
        <w:rPr>
          <w:rFonts w:ascii="Times New Roman" w:hAnsi="Times New Roman" w:cs="Times New Roman"/>
          <w:sz w:val="28"/>
          <w:szCs w:val="28"/>
        </w:rPr>
        <w:t xml:space="preserve"> </w:t>
      </w:r>
      <w:r w:rsidR="000A0C54" w:rsidRPr="00B649C9">
        <w:rPr>
          <w:rFonts w:ascii="Times New Roman" w:hAnsi="Times New Roman" w:cs="Times New Roman"/>
          <w:sz w:val="28"/>
          <w:szCs w:val="28"/>
        </w:rPr>
        <w:t>прочи</w:t>
      </w:r>
      <w:r w:rsidR="00B649C9" w:rsidRPr="00B649C9">
        <w:rPr>
          <w:rFonts w:ascii="Times New Roman" w:hAnsi="Times New Roman" w:cs="Times New Roman"/>
          <w:sz w:val="28"/>
          <w:szCs w:val="28"/>
        </w:rPr>
        <w:t xml:space="preserve">х видов деятельности - </w:t>
      </w:r>
      <w:r w:rsidR="00B649C9">
        <w:rPr>
          <w:rFonts w:ascii="Times New Roman" w:hAnsi="Times New Roman" w:cs="Times New Roman"/>
          <w:sz w:val="28"/>
          <w:szCs w:val="28"/>
        </w:rPr>
        <w:t>2</w:t>
      </w:r>
      <w:r w:rsidR="00B649C9" w:rsidRPr="00B649C9">
        <w:rPr>
          <w:rFonts w:ascii="Times New Roman" w:hAnsi="Times New Roman" w:cs="Times New Roman"/>
          <w:sz w:val="28"/>
          <w:szCs w:val="28"/>
        </w:rPr>
        <w:t>3 ед.</w:t>
      </w:r>
      <w:proofErr w:type="gramEnd"/>
    </w:p>
    <w:p w:rsidR="006F4318" w:rsidRDefault="006F4318" w:rsidP="006F4318">
      <w:pPr>
        <w:spacing w:after="0"/>
        <w:rPr>
          <w:rFonts w:ascii="Times New Roman" w:hAnsi="Times New Roman"/>
          <w:sz w:val="28"/>
          <w:szCs w:val="28"/>
        </w:rPr>
      </w:pPr>
      <w:r w:rsidRPr="006F4318">
        <w:rPr>
          <w:rFonts w:ascii="Times New Roman" w:hAnsi="Times New Roman" w:cs="Times New Roman"/>
          <w:sz w:val="28"/>
          <w:szCs w:val="28"/>
        </w:rPr>
        <w:t xml:space="preserve">В собственности городского округа находятся 100 % пакеты акций в уставных капиталах </w:t>
      </w:r>
      <w:r w:rsidR="00B649C9">
        <w:rPr>
          <w:rFonts w:ascii="Times New Roman" w:hAnsi="Times New Roman" w:cs="Times New Roman"/>
          <w:sz w:val="28"/>
          <w:szCs w:val="28"/>
        </w:rPr>
        <w:t>5</w:t>
      </w:r>
      <w:r w:rsidRPr="006F4318">
        <w:rPr>
          <w:rFonts w:ascii="Times New Roman" w:hAnsi="Times New Roman" w:cs="Times New Roman"/>
          <w:sz w:val="28"/>
          <w:szCs w:val="28"/>
        </w:rPr>
        <w:t xml:space="preserve"> открытых акционерных обществ на сумму 487,6 млн. </w:t>
      </w:r>
      <w:r w:rsidRPr="006F4318">
        <w:rPr>
          <w:rFonts w:ascii="Times New Roman" w:hAnsi="Times New Roman" w:cs="Times New Roman"/>
          <w:sz w:val="28"/>
          <w:szCs w:val="28"/>
        </w:rPr>
        <w:lastRenderedPageBreak/>
        <w:t>рублей</w:t>
      </w:r>
      <w:r w:rsidR="00D12A9F">
        <w:rPr>
          <w:rFonts w:ascii="Times New Roman" w:hAnsi="Times New Roman" w:cs="Times New Roman"/>
          <w:sz w:val="28"/>
          <w:szCs w:val="28"/>
        </w:rPr>
        <w:t xml:space="preserve">. </w:t>
      </w:r>
      <w:r w:rsidR="00D12A9F" w:rsidRPr="00D12A9F">
        <w:rPr>
          <w:rFonts w:ascii="Times New Roman" w:hAnsi="Times New Roman" w:cs="Times New Roman"/>
          <w:sz w:val="28"/>
          <w:szCs w:val="28"/>
        </w:rPr>
        <w:t>В 2016 году д</w:t>
      </w:r>
      <w:r w:rsidR="00C90ABB" w:rsidRPr="00D12A9F">
        <w:rPr>
          <w:rFonts w:ascii="Times New Roman" w:hAnsi="Times New Roman"/>
          <w:sz w:val="28"/>
          <w:szCs w:val="28"/>
        </w:rPr>
        <w:t>оходы</w:t>
      </w:r>
      <w:r w:rsidR="00D12A9F">
        <w:rPr>
          <w:rFonts w:ascii="Times New Roman" w:hAnsi="Times New Roman"/>
          <w:sz w:val="28"/>
          <w:szCs w:val="28"/>
        </w:rPr>
        <w:t>,</w:t>
      </w:r>
      <w:r w:rsidR="00C90ABB" w:rsidRPr="00D12A9F">
        <w:rPr>
          <w:rFonts w:ascii="Times New Roman" w:hAnsi="Times New Roman"/>
          <w:sz w:val="28"/>
          <w:szCs w:val="28"/>
        </w:rPr>
        <w:t xml:space="preserve"> в виде дивидендов</w:t>
      </w:r>
      <w:r w:rsidR="00D12A9F" w:rsidRPr="00D12A9F">
        <w:rPr>
          <w:rFonts w:ascii="Times New Roman" w:hAnsi="Times New Roman"/>
          <w:sz w:val="28"/>
          <w:szCs w:val="28"/>
        </w:rPr>
        <w:t xml:space="preserve"> по акциям</w:t>
      </w:r>
      <w:r w:rsidR="00D12A9F">
        <w:rPr>
          <w:rFonts w:ascii="Times New Roman" w:hAnsi="Times New Roman"/>
          <w:sz w:val="28"/>
          <w:szCs w:val="28"/>
        </w:rPr>
        <w:t>,</w:t>
      </w:r>
      <w:r w:rsidR="00C90ABB" w:rsidRPr="00D12A9F">
        <w:rPr>
          <w:rFonts w:ascii="Times New Roman" w:hAnsi="Times New Roman"/>
          <w:sz w:val="28"/>
          <w:szCs w:val="28"/>
        </w:rPr>
        <w:t xml:space="preserve"> </w:t>
      </w:r>
      <w:r w:rsidR="00D12A9F" w:rsidRPr="00D12A9F">
        <w:rPr>
          <w:rFonts w:ascii="Times New Roman" w:hAnsi="Times New Roman"/>
          <w:sz w:val="28"/>
          <w:szCs w:val="28"/>
        </w:rPr>
        <w:t xml:space="preserve">поступили </w:t>
      </w:r>
      <w:r w:rsidR="00D12A9F" w:rsidRPr="00D12A9F">
        <w:rPr>
          <w:rFonts w:ascii="Times New Roman" w:hAnsi="Times New Roman" w:cs="Times New Roman"/>
          <w:spacing w:val="2"/>
          <w:sz w:val="28"/>
          <w:szCs w:val="28"/>
        </w:rPr>
        <w:t>в бюджет городского округа</w:t>
      </w:r>
      <w:r w:rsidR="00D12A9F" w:rsidRPr="00D12A9F">
        <w:rPr>
          <w:rFonts w:ascii="Times New Roman" w:hAnsi="Times New Roman"/>
          <w:sz w:val="28"/>
          <w:szCs w:val="28"/>
        </w:rPr>
        <w:t xml:space="preserve"> в сумме 39,2 млн. рублей</w:t>
      </w:r>
      <w:r w:rsidR="00D12A9F">
        <w:rPr>
          <w:rFonts w:ascii="Times New Roman" w:hAnsi="Times New Roman"/>
          <w:sz w:val="28"/>
          <w:szCs w:val="28"/>
        </w:rPr>
        <w:t>, что на 15,2 % больше, чем в 2015 году.</w:t>
      </w:r>
    </w:p>
    <w:p w:rsidR="00655BA5" w:rsidRPr="00CA379F" w:rsidRDefault="00655BA5" w:rsidP="00655BA5">
      <w:pPr>
        <w:spacing w:after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01.01.</w:t>
      </w:r>
      <w:r w:rsidRPr="00CA379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A3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A3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действовало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CA3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 аренды муниципального имущества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текущем году планируется заключить 2 договора. Доходы в бюджет городского округа от </w:t>
      </w:r>
      <w:r w:rsidRPr="00CA379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 муниципального имущества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2016 году оцениваются на уровне 21,89 млн. рублей и увеличатся к 2015 года на 15,2 %.</w:t>
      </w:r>
    </w:p>
    <w:p w:rsidR="00D03541" w:rsidRDefault="00D03541" w:rsidP="00D0354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C66C3">
        <w:rPr>
          <w:rFonts w:ascii="Times New Roman" w:hAnsi="Times New Roman" w:cs="Times New Roman"/>
          <w:sz w:val="28"/>
          <w:szCs w:val="28"/>
        </w:rPr>
        <w:t xml:space="preserve"> сфере приватизации муниципального имущества городского округа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66C3">
        <w:rPr>
          <w:rFonts w:ascii="Times New Roman" w:hAnsi="Times New Roman" w:cs="Times New Roman"/>
          <w:sz w:val="28"/>
          <w:szCs w:val="28"/>
        </w:rPr>
        <w:t>2017–2019 годах будет продолжаться продажа объектов муниципальной недвижимости на аукционных торгах.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541">
        <w:rPr>
          <w:rFonts w:ascii="Times New Roman" w:hAnsi="Times New Roman" w:cs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>доходов от приватизации муниципального имущества будет снижаться.</w:t>
      </w:r>
    </w:p>
    <w:p w:rsidR="00294358" w:rsidRPr="00294358" w:rsidRDefault="00294358" w:rsidP="00C535B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B69D9">
        <w:rPr>
          <w:rFonts w:ascii="Times New Roman" w:hAnsi="Times New Roman" w:cs="Times New Roman"/>
          <w:sz w:val="28"/>
          <w:szCs w:val="28"/>
        </w:rPr>
        <w:t>Предлагаемые в настоящее время к приватизации объекты муниципального имущества характеризуются низкой ликвидностью и неудовлетворительным техническим состоянием, что отражается на его стоимости.</w:t>
      </w:r>
      <w:r w:rsidRPr="00294358">
        <w:rPr>
          <w:rFonts w:ascii="Times New Roman" w:hAnsi="Times New Roman" w:cs="Times New Roman"/>
          <w:sz w:val="28"/>
          <w:szCs w:val="28"/>
        </w:rPr>
        <w:t xml:space="preserve"> Основной объем предлагаемых к приватизации объектов составляют здания</w:t>
      </w:r>
      <w:r w:rsidR="00307395">
        <w:rPr>
          <w:rFonts w:ascii="Times New Roman" w:hAnsi="Times New Roman" w:cs="Times New Roman"/>
          <w:sz w:val="28"/>
          <w:szCs w:val="28"/>
        </w:rPr>
        <w:t xml:space="preserve"> и помещения</w:t>
      </w:r>
      <w:r w:rsidRPr="00294358">
        <w:rPr>
          <w:rFonts w:ascii="Times New Roman" w:hAnsi="Times New Roman" w:cs="Times New Roman"/>
          <w:sz w:val="28"/>
          <w:szCs w:val="28"/>
        </w:rPr>
        <w:t xml:space="preserve"> длительное время неиспользуемые и невостребованные для сдачи в аренду. Указанные объекты требуют существенных вложений, как на проведение ремонтных работ, так и на дальнейшее их обслуживание, что также отталкивает от таких объектов потенциальных покупателей.</w:t>
      </w:r>
    </w:p>
    <w:p w:rsidR="00960F3F" w:rsidRPr="00E623B6" w:rsidRDefault="00785014" w:rsidP="00785014">
      <w:pPr>
        <w:autoSpaceDE w:val="0"/>
        <w:autoSpaceDN w:val="0"/>
        <w:adjustRightInd w:val="0"/>
        <w:spacing w:after="0"/>
        <w:ind w:firstLine="85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850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Прогноз </w:t>
      </w:r>
      <w:r w:rsidRPr="00785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доходов от имущества, находящегося в муниципальной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Pr="007850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2017-2019 год представлен </w:t>
      </w:r>
      <w:r w:rsidRPr="00A864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Pr="000225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таблице </w:t>
      </w:r>
      <w:r w:rsidR="000225D4" w:rsidRPr="000225D4">
        <w:rPr>
          <w:rFonts w:ascii="Times New Roman" w:eastAsia="Calibri" w:hAnsi="Times New Roman" w:cs="Times New Roman"/>
          <w:sz w:val="28"/>
          <w:szCs w:val="28"/>
          <w:lang w:eastAsia="ru-RU"/>
        </w:rPr>
        <w:t>18</w:t>
      </w:r>
      <w:r w:rsidRPr="000225D4">
        <w:rPr>
          <w:rFonts w:ascii="Times New Roman" w:eastAsia="Calibri" w:hAnsi="Times New Roman" w:cs="Times New Roman"/>
          <w:sz w:val="28"/>
          <w:szCs w:val="28"/>
          <w:lang w:eastAsia="ru-RU"/>
        </w:rPr>
        <w:t>.1:</w:t>
      </w:r>
    </w:p>
    <w:tbl>
      <w:tblPr>
        <w:tblW w:w="9727" w:type="dxa"/>
        <w:tblInd w:w="51" w:type="dxa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2920"/>
        <w:gridCol w:w="709"/>
        <w:gridCol w:w="842"/>
        <w:gridCol w:w="914"/>
        <w:gridCol w:w="787"/>
        <w:gridCol w:w="711"/>
        <w:gridCol w:w="711"/>
        <w:gridCol w:w="711"/>
        <w:gridCol w:w="711"/>
        <w:gridCol w:w="711"/>
      </w:tblGrid>
      <w:tr w:rsidR="00960F3F" w:rsidRPr="002D24DF" w:rsidTr="002D24DF">
        <w:trPr>
          <w:trHeight w:val="300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2D24DF" w:rsidP="002D24DF">
            <w:pPr>
              <w:spacing w:after="0"/>
              <w:ind w:right="-51"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2015 год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2016 год оценка</w:t>
            </w:r>
          </w:p>
        </w:tc>
        <w:tc>
          <w:tcPr>
            <w:tcW w:w="43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60F3F" w:rsidRPr="002D24DF" w:rsidRDefault="00960F3F" w:rsidP="00FB76C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Прогноз</w:t>
            </w:r>
          </w:p>
        </w:tc>
      </w:tr>
      <w:tr w:rsidR="00960F3F" w:rsidRPr="002D24DF" w:rsidTr="002D24DF">
        <w:trPr>
          <w:trHeight w:val="398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F3F" w:rsidRPr="002D24DF" w:rsidRDefault="00960F3F" w:rsidP="00FB76C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F3F" w:rsidRPr="002D24DF" w:rsidRDefault="00960F3F" w:rsidP="00FB76C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F3F" w:rsidRPr="002D24DF" w:rsidRDefault="00960F3F" w:rsidP="00FB76C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F3F" w:rsidRPr="002D24DF" w:rsidRDefault="00960F3F" w:rsidP="00FB76C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3F" w:rsidRPr="002D24DF" w:rsidRDefault="002D24D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2017 год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3F" w:rsidRPr="002D24DF" w:rsidRDefault="002D24D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2018 год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3F" w:rsidRPr="002D24DF" w:rsidRDefault="002D24D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2019 год</w:t>
            </w:r>
          </w:p>
        </w:tc>
      </w:tr>
      <w:tr w:rsidR="00960F3F" w:rsidRPr="002D24DF" w:rsidTr="002D24DF">
        <w:trPr>
          <w:trHeight w:val="660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F3F" w:rsidRPr="002D24DF" w:rsidRDefault="00960F3F" w:rsidP="00FB76C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F3F" w:rsidRPr="002D24DF" w:rsidRDefault="00960F3F" w:rsidP="00FB76C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F3F" w:rsidRPr="002D24DF" w:rsidRDefault="00960F3F" w:rsidP="00FB76C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0F3F" w:rsidRPr="002D24DF" w:rsidRDefault="00960F3F" w:rsidP="00FB76C6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2D2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вар.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вар.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вар.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вар.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A864DF" w:rsidRP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вар.</w:t>
            </w:r>
          </w:p>
          <w:p w:rsidR="00960F3F" w:rsidRPr="002D24DF" w:rsidRDefault="00960F3F" w:rsidP="00A864D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A864DF" w:rsidRP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вар.</w:t>
            </w:r>
          </w:p>
          <w:p w:rsidR="00960F3F" w:rsidRPr="002D24DF" w:rsidRDefault="00960F3F" w:rsidP="00A864D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</w:tr>
      <w:tr w:rsidR="00960F3F" w:rsidRPr="002D24DF" w:rsidTr="002D24DF">
        <w:trPr>
          <w:trHeight w:val="82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от муниципальной </w:t>
            </w: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собственности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220,56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64,63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33,23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47,8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33,15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47, 8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32,79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47,8</w:t>
            </w:r>
          </w:p>
        </w:tc>
      </w:tr>
      <w:tr w:rsidR="00960F3F" w:rsidRPr="002D24DF" w:rsidTr="002D24DF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3F" w:rsidRPr="002D24DF" w:rsidRDefault="00960F3F" w:rsidP="00FB76C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3F" w:rsidRPr="002D24DF" w:rsidRDefault="00960F3F" w:rsidP="002D24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3F" w:rsidRPr="002D24DF" w:rsidRDefault="00960F3F" w:rsidP="002D24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3F" w:rsidRPr="002D24DF" w:rsidRDefault="00960F3F" w:rsidP="002D24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3F" w:rsidRPr="002D24DF" w:rsidRDefault="00960F3F" w:rsidP="002D24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3F" w:rsidRPr="002D24DF" w:rsidRDefault="00960F3F" w:rsidP="002D24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3F" w:rsidRPr="002D24DF" w:rsidRDefault="00960F3F" w:rsidP="002D24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3F" w:rsidRPr="002D24DF" w:rsidRDefault="00960F3F" w:rsidP="002D24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3F" w:rsidRPr="002D24DF" w:rsidRDefault="00960F3F" w:rsidP="002D24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0F3F" w:rsidRPr="002D24DF" w:rsidTr="002D24DF">
        <w:trPr>
          <w:trHeight w:val="64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от приватизации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3F" w:rsidRP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0,73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</w:tr>
      <w:tr w:rsidR="00960F3F" w:rsidRPr="002D24DF" w:rsidTr="002D24DF">
        <w:trPr>
          <w:trHeight w:val="57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от аренды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3F" w:rsidRP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19,01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21,89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19,12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45,04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19,12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45,04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19,12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45,04</w:t>
            </w:r>
          </w:p>
        </w:tc>
      </w:tr>
      <w:tr w:rsidR="00960F3F" w:rsidRPr="002D24DF" w:rsidTr="002D24DF">
        <w:trPr>
          <w:trHeight w:val="118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от дивидендов по акциям, находящимся в муниципальной собственности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3F" w:rsidRP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34,07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39,23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60F3F" w:rsidRPr="002D24DF" w:rsidTr="002D24DF">
        <w:trPr>
          <w:trHeight w:val="157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от перечисления части прибыли, остающейся в   распоряжении          </w:t>
            </w: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муниципальных   предприятий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3F" w:rsidRP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11,84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11,83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2,11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11,65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2,11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11,78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2,11</w:t>
            </w:r>
          </w:p>
        </w:tc>
      </w:tr>
      <w:tr w:rsidR="00960F3F" w:rsidRPr="002D24DF" w:rsidTr="002D24DF">
        <w:trPr>
          <w:trHeight w:val="66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прочие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2D24DF" w:rsidP="002D24DF">
            <w:pPr>
              <w:spacing w:after="0"/>
              <w:ind w:firstLine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1,97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1,94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1,76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1,86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1,84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3F" w:rsidRPr="002D24DF" w:rsidRDefault="00960F3F" w:rsidP="002D24DF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4D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0844F2" w:rsidRPr="002D24DF" w:rsidRDefault="00960F3F" w:rsidP="00A864D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2D24D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Таблиц 1</w:t>
      </w:r>
      <w:r w:rsidR="000225D4" w:rsidRPr="002D24D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</w:t>
      </w:r>
      <w:r w:rsidRPr="002D24D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.1. Прогноз доходов от использования недвижимого имущества, находящегося в муниципальной собственности</w:t>
      </w:r>
      <w:r w:rsidR="00A864DF" w:rsidRPr="002D24D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на</w:t>
      </w:r>
      <w:r w:rsidR="00E623B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период</w:t>
      </w:r>
      <w:r w:rsidR="00A864DF" w:rsidRPr="002D24D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E623B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2017-2019</w:t>
      </w:r>
      <w:r w:rsidR="00A864DF" w:rsidRPr="002D24D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год</w:t>
      </w:r>
      <w:r w:rsidR="00E623B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ов</w:t>
      </w:r>
    </w:p>
    <w:p w:rsidR="00307395" w:rsidRPr="00A864DF" w:rsidRDefault="00307395" w:rsidP="000844F2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6C02D6" w:rsidRPr="00A864DF" w:rsidRDefault="00742670" w:rsidP="00C535B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A864DF">
        <w:rPr>
          <w:rFonts w:ascii="Times New Roman" w:hAnsi="Times New Roman"/>
          <w:sz w:val="28"/>
          <w:szCs w:val="28"/>
        </w:rPr>
        <w:t>Д</w:t>
      </w:r>
      <w:r w:rsidR="006C02D6" w:rsidRPr="00A864DF">
        <w:rPr>
          <w:rFonts w:ascii="Times New Roman" w:hAnsi="Times New Roman"/>
          <w:sz w:val="28"/>
          <w:szCs w:val="28"/>
        </w:rPr>
        <w:t xml:space="preserve">оходы от использования муниципального имущества </w:t>
      </w:r>
      <w:r w:rsidRPr="00A864DF">
        <w:rPr>
          <w:rFonts w:ascii="Times New Roman" w:hAnsi="Times New Roman"/>
          <w:sz w:val="28"/>
          <w:szCs w:val="28"/>
        </w:rPr>
        <w:t xml:space="preserve">в среднесрочном периоде </w:t>
      </w:r>
      <w:r w:rsidR="006C02D6" w:rsidRPr="00A864DF">
        <w:rPr>
          <w:rFonts w:ascii="Times New Roman" w:hAnsi="Times New Roman"/>
          <w:sz w:val="28"/>
          <w:szCs w:val="28"/>
        </w:rPr>
        <w:t>могут возрасти в результате:</w:t>
      </w:r>
    </w:p>
    <w:p w:rsidR="006C02D6" w:rsidRPr="00A864DF" w:rsidRDefault="006C02D6" w:rsidP="00C535B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A864DF">
        <w:rPr>
          <w:rFonts w:ascii="Times New Roman" w:hAnsi="Times New Roman"/>
          <w:sz w:val="28"/>
          <w:szCs w:val="28"/>
        </w:rPr>
        <w:t>- проведения инвентаризации муниципального имущества, с целью выявления неиспользуемого имущества;</w:t>
      </w:r>
    </w:p>
    <w:p w:rsidR="006C02D6" w:rsidRPr="00A864DF" w:rsidRDefault="006C02D6" w:rsidP="00C535B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A864DF">
        <w:rPr>
          <w:rFonts w:ascii="Times New Roman" w:hAnsi="Times New Roman"/>
          <w:sz w:val="28"/>
          <w:szCs w:val="28"/>
        </w:rPr>
        <w:t xml:space="preserve">- проведения </w:t>
      </w:r>
      <w:proofErr w:type="gramStart"/>
      <w:r w:rsidRPr="00A864DF">
        <w:rPr>
          <w:rFonts w:ascii="Times New Roman" w:hAnsi="Times New Roman"/>
          <w:sz w:val="28"/>
          <w:szCs w:val="28"/>
        </w:rPr>
        <w:t>оценки эффективности использования муниципального имущества</w:t>
      </w:r>
      <w:proofErr w:type="gramEnd"/>
      <w:r w:rsidRPr="00A864DF">
        <w:rPr>
          <w:rFonts w:ascii="Times New Roman" w:hAnsi="Times New Roman"/>
          <w:sz w:val="28"/>
          <w:szCs w:val="28"/>
        </w:rPr>
        <w:t>;</w:t>
      </w:r>
    </w:p>
    <w:p w:rsidR="006C02D6" w:rsidRPr="00A864DF" w:rsidRDefault="006C02D6" w:rsidP="00C535B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A864DF">
        <w:rPr>
          <w:rFonts w:ascii="Times New Roman" w:hAnsi="Times New Roman"/>
          <w:sz w:val="28"/>
          <w:szCs w:val="28"/>
        </w:rPr>
        <w:t>- формирования перечня сдаваемого в аренду имущества;</w:t>
      </w:r>
    </w:p>
    <w:p w:rsidR="006C02D6" w:rsidRPr="00A864DF" w:rsidRDefault="006C02D6" w:rsidP="00C535B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A864DF">
        <w:rPr>
          <w:rFonts w:ascii="Times New Roman" w:hAnsi="Times New Roman"/>
          <w:sz w:val="28"/>
          <w:szCs w:val="28"/>
        </w:rPr>
        <w:t>- предоставления свободного муниципального имущества через проведение процедуры торгов на право заключения договора аренды муниципального имущества по ставкам не ниже уровня рыночных цен;</w:t>
      </w:r>
      <w:proofErr w:type="gramEnd"/>
    </w:p>
    <w:p w:rsidR="006C02D6" w:rsidRPr="00A864DF" w:rsidRDefault="006C02D6" w:rsidP="00C535B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A864DF">
        <w:rPr>
          <w:rFonts w:ascii="Times New Roman" w:hAnsi="Times New Roman"/>
          <w:sz w:val="28"/>
          <w:szCs w:val="28"/>
        </w:rPr>
        <w:t>- проведения мероприятий по ликвидации задолженности</w:t>
      </w:r>
      <w:r w:rsidR="008725CF" w:rsidRPr="00A864DF">
        <w:rPr>
          <w:rFonts w:ascii="Times New Roman" w:hAnsi="Times New Roman"/>
          <w:sz w:val="28"/>
          <w:szCs w:val="28"/>
        </w:rPr>
        <w:t xml:space="preserve"> по платежам за аренду </w:t>
      </w:r>
      <w:r w:rsidR="00307395" w:rsidRPr="00A864DF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Pr="00A864DF">
        <w:rPr>
          <w:rFonts w:ascii="Times New Roman" w:hAnsi="Times New Roman"/>
          <w:sz w:val="28"/>
          <w:szCs w:val="28"/>
        </w:rPr>
        <w:t>и недопущению её роста;</w:t>
      </w:r>
    </w:p>
    <w:p w:rsidR="008725CF" w:rsidRPr="00A864DF" w:rsidRDefault="006C02D6" w:rsidP="008725CF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A864DF">
        <w:rPr>
          <w:rFonts w:ascii="Times New Roman" w:hAnsi="Times New Roman"/>
          <w:sz w:val="28"/>
          <w:szCs w:val="28"/>
        </w:rPr>
        <w:t xml:space="preserve">- проведение </w:t>
      </w:r>
      <w:proofErr w:type="gramStart"/>
      <w:r w:rsidRPr="00A864DF">
        <w:rPr>
          <w:rFonts w:ascii="Times New Roman" w:hAnsi="Times New Roman"/>
          <w:sz w:val="28"/>
          <w:szCs w:val="28"/>
        </w:rPr>
        <w:t>анализа эффективности финансово-хозяйственной деятельности муниципальных унитарных предприятий городского округа</w:t>
      </w:r>
      <w:proofErr w:type="gramEnd"/>
      <w:r w:rsidRPr="00A864DF">
        <w:rPr>
          <w:rFonts w:ascii="Times New Roman" w:hAnsi="Times New Roman"/>
          <w:sz w:val="28"/>
          <w:szCs w:val="28"/>
        </w:rPr>
        <w:t xml:space="preserve"> в целях предотвращения финансовой нестабильности и банкротства предприятий.</w:t>
      </w:r>
    </w:p>
    <w:p w:rsidR="003828D0" w:rsidRDefault="00307395" w:rsidP="003828D0">
      <w:pPr>
        <w:pStyle w:val="ConsPlusNormal"/>
        <w:ind w:firstLine="851"/>
      </w:pPr>
      <w:proofErr w:type="gramStart"/>
      <w:r w:rsidRPr="003828D0">
        <w:t>В среднесрочном периоде</w:t>
      </w:r>
      <w:r w:rsidR="0077364B">
        <w:t>,</w:t>
      </w:r>
      <w:r w:rsidRPr="003828D0">
        <w:t xml:space="preserve"> </w:t>
      </w:r>
      <w:r w:rsidR="0077364B">
        <w:t xml:space="preserve">в целях обеспечения и повышения </w:t>
      </w:r>
      <w:r w:rsidR="003828D0" w:rsidRPr="003828D0">
        <w:t>эффективности использования муниципального недвижимого имущества</w:t>
      </w:r>
      <w:r w:rsidR="0077364B">
        <w:t>,</w:t>
      </w:r>
      <w:r w:rsidR="003828D0" w:rsidRPr="003828D0">
        <w:t xml:space="preserve"> </w:t>
      </w:r>
      <w:r w:rsidR="008725CF" w:rsidRPr="003828D0">
        <w:t>реализуются муниципальн</w:t>
      </w:r>
      <w:r w:rsidR="0077364B">
        <w:t>ая</w:t>
      </w:r>
      <w:r w:rsidR="008725CF" w:rsidRPr="003828D0">
        <w:t xml:space="preserve"> программ</w:t>
      </w:r>
      <w:r w:rsidR="0077364B">
        <w:t>а</w:t>
      </w:r>
      <w:r w:rsidR="008725CF" w:rsidRPr="003828D0">
        <w:t xml:space="preserve"> «</w:t>
      </w:r>
      <w:r w:rsidR="008725CF" w:rsidRPr="003828D0">
        <w:rPr>
          <w:szCs w:val="24"/>
        </w:rPr>
        <w:t>Совершенствование управления муниципальным имуществом Петропавловск-Камчатского городского округа</w:t>
      </w:r>
      <w:r w:rsidR="008725CF" w:rsidRPr="003828D0">
        <w:rPr>
          <w:sz w:val="24"/>
          <w:szCs w:val="24"/>
        </w:rPr>
        <w:t>»</w:t>
      </w:r>
      <w:r w:rsidR="003828D0" w:rsidRPr="003828D0">
        <w:rPr>
          <w:sz w:val="24"/>
          <w:szCs w:val="24"/>
        </w:rPr>
        <w:t xml:space="preserve"> (</w:t>
      </w:r>
      <w:r w:rsidR="003828D0" w:rsidRPr="003828D0">
        <w:t>подпрограмма «Управление и распоряжение объектами недвижимого имущества муниципальной собственности»</w:t>
      </w:r>
      <w:r w:rsidR="003828D0">
        <w:t>.</w:t>
      </w:r>
      <w:proofErr w:type="gramEnd"/>
    </w:p>
    <w:p w:rsidR="00A63AFB" w:rsidRPr="003828D0" w:rsidRDefault="00A63AFB" w:rsidP="003828D0">
      <w:pPr>
        <w:pStyle w:val="ConsPlusNormal"/>
        <w:ind w:firstLine="851"/>
      </w:pPr>
    </w:p>
    <w:p w:rsidR="001946F1" w:rsidRDefault="000225D4" w:rsidP="00A63AFB">
      <w:pPr>
        <w:pStyle w:val="1"/>
      </w:pPr>
      <w:bookmarkStart w:id="85" w:name="_Toc430947237"/>
      <w:bookmarkStart w:id="86" w:name="_Toc400529664"/>
      <w:bookmarkStart w:id="87" w:name="_Toc465927703"/>
      <w:r w:rsidRPr="000225D4">
        <w:t>19</w:t>
      </w:r>
      <w:r w:rsidR="001946F1" w:rsidRPr="000225D4">
        <w:t xml:space="preserve">. </w:t>
      </w:r>
      <w:bookmarkEnd w:id="85"/>
      <w:bookmarkEnd w:id="86"/>
      <w:r w:rsidR="001946F1" w:rsidRPr="000225D4">
        <w:t>Управление земельными ресурсами</w:t>
      </w:r>
      <w:bookmarkEnd w:id="87"/>
    </w:p>
    <w:p w:rsidR="00A63AFB" w:rsidRPr="00A63AFB" w:rsidRDefault="00A63AFB" w:rsidP="00A63AFB"/>
    <w:p w:rsidR="001946F1" w:rsidRDefault="001946F1" w:rsidP="001946F1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933D35">
        <w:rPr>
          <w:rFonts w:ascii="Times New Roman" w:hAnsi="Times New Roman" w:cs="Times New Roman"/>
          <w:sz w:val="28"/>
          <w:szCs w:val="28"/>
        </w:rPr>
        <w:t>В целях обеспечения эффективности землепользования</w:t>
      </w:r>
      <w:r w:rsidRPr="00686F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2015 году </w:t>
      </w:r>
      <w:r w:rsidRPr="000955A9">
        <w:rPr>
          <w:rFonts w:ascii="Times New Roman" w:eastAsia="Calibri" w:hAnsi="Times New Roman" w:cs="Times New Roman"/>
          <w:sz w:val="28"/>
          <w:szCs w:val="28"/>
        </w:rPr>
        <w:t xml:space="preserve">сформировано </w:t>
      </w:r>
      <w:r w:rsidR="00E623B6">
        <w:rPr>
          <w:rFonts w:ascii="Times New Roman" w:eastAsia="Calibri" w:hAnsi="Times New Roman" w:cs="Times New Roman"/>
          <w:sz w:val="28"/>
          <w:szCs w:val="28"/>
        </w:rPr>
        <w:t>3</w:t>
      </w:r>
      <w:r w:rsidRPr="000955A9">
        <w:rPr>
          <w:rFonts w:ascii="Times New Roman" w:eastAsia="Calibri" w:hAnsi="Times New Roman" w:cs="Times New Roman"/>
          <w:sz w:val="28"/>
          <w:szCs w:val="28"/>
        </w:rPr>
        <w:t>33 земельных участка из них для целей строительства - 86 зем</w:t>
      </w:r>
      <w:r>
        <w:rPr>
          <w:rFonts w:ascii="Times New Roman" w:eastAsia="Calibri" w:hAnsi="Times New Roman" w:cs="Times New Roman"/>
          <w:sz w:val="28"/>
          <w:szCs w:val="28"/>
        </w:rPr>
        <w:t>ельных участк</w:t>
      </w:r>
      <w:r w:rsidR="00EA1716">
        <w:rPr>
          <w:rFonts w:ascii="Times New Roman" w:eastAsia="Calibri" w:hAnsi="Times New Roman" w:cs="Times New Roman"/>
          <w:sz w:val="28"/>
          <w:szCs w:val="28"/>
        </w:rPr>
        <w:t>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для иных целей </w:t>
      </w:r>
      <w:r w:rsidRPr="000955A9">
        <w:rPr>
          <w:rFonts w:ascii="Times New Roman" w:eastAsia="Calibri" w:hAnsi="Times New Roman" w:cs="Times New Roman"/>
          <w:sz w:val="28"/>
          <w:szCs w:val="28"/>
        </w:rPr>
        <w:t>- 81 земельны</w:t>
      </w:r>
      <w:r w:rsidR="00E623B6">
        <w:rPr>
          <w:rFonts w:ascii="Times New Roman" w:eastAsia="Calibri" w:hAnsi="Times New Roman" w:cs="Times New Roman"/>
          <w:sz w:val="28"/>
          <w:szCs w:val="28"/>
        </w:rPr>
        <w:t>й</w:t>
      </w:r>
      <w:r w:rsidRPr="000955A9">
        <w:rPr>
          <w:rFonts w:ascii="Times New Roman" w:eastAsia="Calibri" w:hAnsi="Times New Roman" w:cs="Times New Roman"/>
          <w:sz w:val="28"/>
          <w:szCs w:val="28"/>
        </w:rPr>
        <w:t xml:space="preserve"> участ</w:t>
      </w:r>
      <w:r w:rsidR="00E623B6">
        <w:rPr>
          <w:rFonts w:ascii="Times New Roman" w:eastAsia="Calibri" w:hAnsi="Times New Roman" w:cs="Times New Roman"/>
          <w:sz w:val="28"/>
          <w:szCs w:val="28"/>
        </w:rPr>
        <w:t>о</w:t>
      </w:r>
      <w:r w:rsidRPr="000955A9">
        <w:rPr>
          <w:rFonts w:ascii="Times New Roman" w:eastAsia="Calibri" w:hAnsi="Times New Roman" w:cs="Times New Roman"/>
          <w:sz w:val="28"/>
          <w:szCs w:val="28"/>
        </w:rPr>
        <w:t xml:space="preserve">к, для эксплуатации уже существующих объектов - </w:t>
      </w:r>
      <w:r w:rsidR="00EA1716">
        <w:rPr>
          <w:rFonts w:ascii="Times New Roman" w:eastAsia="Calibri" w:hAnsi="Times New Roman" w:cs="Times New Roman"/>
          <w:sz w:val="28"/>
          <w:szCs w:val="28"/>
        </w:rPr>
        <w:t>1</w:t>
      </w:r>
      <w:r w:rsidRPr="000955A9">
        <w:rPr>
          <w:rFonts w:ascii="Times New Roman" w:eastAsia="Calibri" w:hAnsi="Times New Roman" w:cs="Times New Roman"/>
          <w:sz w:val="28"/>
          <w:szCs w:val="28"/>
        </w:rPr>
        <w:t>66 земельных участк</w:t>
      </w:r>
      <w:r w:rsidR="00EA1716">
        <w:rPr>
          <w:rFonts w:ascii="Times New Roman" w:eastAsia="Calibri" w:hAnsi="Times New Roman" w:cs="Times New Roman"/>
          <w:sz w:val="28"/>
          <w:szCs w:val="28"/>
        </w:rPr>
        <w:t>ов</w:t>
      </w:r>
      <w:r w:rsidRPr="000955A9">
        <w:rPr>
          <w:rFonts w:ascii="Times New Roman" w:eastAsia="Calibri" w:hAnsi="Times New Roman" w:cs="Times New Roman"/>
          <w:sz w:val="28"/>
          <w:szCs w:val="28"/>
        </w:rPr>
        <w:t>,</w:t>
      </w:r>
      <w:r w:rsidRPr="000955A9">
        <w:rPr>
          <w:rFonts w:ascii="Times New Roman" w:eastAsia="Calibri" w:hAnsi="Times New Roman" w:cs="Times New Roman"/>
          <w:sz w:val="28"/>
        </w:rPr>
        <w:t xml:space="preserve"> в том числе для постановки на кадастровый учет сформировано </w:t>
      </w:r>
      <w:r w:rsidRPr="000955A9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20 </w:t>
      </w:r>
      <w:r w:rsidRPr="00611EDF">
        <w:rPr>
          <w:rFonts w:ascii="Times New Roman" w:eastAsia="Times New Roman" w:hAnsi="Times New Roman" w:cs="Times New Roman"/>
          <w:sz w:val="28"/>
          <w:szCs w:val="16"/>
          <w:lang w:eastAsia="ru-RU"/>
        </w:rPr>
        <w:t>земельных участков под многоквартирными жилыми</w:t>
      </w:r>
      <w:r w:rsidRPr="00D27A08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 домами.</w:t>
      </w:r>
      <w:proofErr w:type="gramEnd"/>
      <w:r w:rsidRPr="00D27A08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 </w:t>
      </w:r>
      <w:r w:rsidRPr="001F7A75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По состоянию на 31.12.2015 года </w:t>
      </w:r>
      <w:r w:rsidRPr="001F7A75">
        <w:rPr>
          <w:rFonts w:ascii="Times New Roman" w:hAnsi="Times New Roman" w:cs="Times New Roman"/>
          <w:sz w:val="28"/>
          <w:szCs w:val="28"/>
        </w:rPr>
        <w:t xml:space="preserve">сформированы и поставлены на государственный кадастровый учет земельные участки, на которых расположены </w:t>
      </w:r>
      <w:r w:rsidRPr="001F7A75">
        <w:rPr>
          <w:rFonts w:ascii="Times New Roman" w:eastAsia="Times New Roman" w:hAnsi="Times New Roman" w:cs="Times New Roman"/>
          <w:sz w:val="28"/>
          <w:szCs w:val="16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>36</w:t>
      </w:r>
      <w:r w:rsidRPr="001F7A75">
        <w:rPr>
          <w:rFonts w:ascii="Times New Roman" w:hAnsi="Times New Roman" w:cs="Times New Roman"/>
          <w:sz w:val="28"/>
          <w:szCs w:val="28"/>
        </w:rPr>
        <w:t xml:space="preserve"> МКД, что составляет </w:t>
      </w:r>
      <w:r>
        <w:rPr>
          <w:rFonts w:ascii="Times New Roman" w:hAnsi="Times New Roman" w:cs="Times New Roman"/>
          <w:sz w:val="28"/>
          <w:szCs w:val="28"/>
        </w:rPr>
        <w:t>35,0</w:t>
      </w:r>
      <w:r w:rsidRPr="001F7A75">
        <w:rPr>
          <w:rFonts w:ascii="Times New Roman" w:hAnsi="Times New Roman" w:cs="Times New Roman"/>
          <w:sz w:val="28"/>
          <w:szCs w:val="28"/>
        </w:rPr>
        <w:t xml:space="preserve"> % от общего количества МКД</w:t>
      </w:r>
      <w:r w:rsidRPr="001F7A75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. </w:t>
      </w:r>
      <w:r w:rsidRPr="0010600E">
        <w:rPr>
          <w:rFonts w:ascii="Times New Roman" w:hAnsi="Times New Roman" w:cs="Times New Roman"/>
          <w:sz w:val="28"/>
          <w:szCs w:val="28"/>
        </w:rPr>
        <w:t>Формирование земельных участков способствует их вовлечению в хозяйственный оборот, что в свою очередь обеспечивает формирование доходной базы бюджета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10600E">
        <w:rPr>
          <w:rFonts w:ascii="Times New Roman" w:hAnsi="Times New Roman" w:cs="Times New Roman"/>
          <w:sz w:val="28"/>
          <w:szCs w:val="28"/>
        </w:rPr>
        <w:t>.</w:t>
      </w:r>
    </w:p>
    <w:p w:rsidR="001946F1" w:rsidRPr="00BA2E39" w:rsidRDefault="001946F1" w:rsidP="001946F1">
      <w:pPr>
        <w:widowControl w:val="0"/>
        <w:autoSpaceDE w:val="0"/>
        <w:autoSpaceDN w:val="0"/>
        <w:spacing w:after="60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вопросов по </w:t>
      </w:r>
      <w:r w:rsidRPr="00BA2E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привлекательности территории городского округа</w:t>
      </w:r>
      <w:r w:rsidRPr="00BA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развитие жилищного строительства, строительство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социальной сферы, </w:t>
      </w:r>
      <w:r w:rsidRPr="00BA2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линейных 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дорог,</w:t>
      </w:r>
      <w:r w:rsidRPr="00BA2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вопросы требуют обеспечения земельными ресурсами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BA2E39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здесь необходимо усилить работу по формированию земельных участков.</w:t>
      </w:r>
      <w:proofErr w:type="gramEnd"/>
    </w:p>
    <w:p w:rsidR="001946F1" w:rsidRDefault="001946F1" w:rsidP="001946F1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0600E">
        <w:rPr>
          <w:rFonts w:ascii="Times New Roman" w:hAnsi="Times New Roman" w:cs="Times New Roman"/>
          <w:sz w:val="28"/>
          <w:szCs w:val="28"/>
        </w:rPr>
        <w:t>Одним из главных условий формирования земельных участков является наличие документации по планировке территории</w:t>
      </w:r>
      <w:r w:rsidRPr="00B56C93">
        <w:rPr>
          <w:rFonts w:ascii="Times New Roman" w:hAnsi="Times New Roman" w:cs="Times New Roman"/>
          <w:i/>
          <w:sz w:val="28"/>
          <w:szCs w:val="28"/>
        </w:rPr>
        <w:t>.</w:t>
      </w:r>
      <w:r w:rsidRPr="00B5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данный момент объем утвержденной документации по планировке территории в городском округе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незначителен</w:t>
      </w:r>
      <w:r w:rsidRPr="00B56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общей площади муниципального образования. Кроме того, часть утвержденной документации требует актуализации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46F1" w:rsidRDefault="001946F1" w:rsidP="001946F1">
      <w:pPr>
        <w:pStyle w:val="ConsPlusNormal"/>
        <w:ind w:firstLine="539"/>
      </w:pPr>
      <w:r w:rsidRPr="001F7A75">
        <w:lastRenderedPageBreak/>
        <w:t>Решая указанную проблему, решаются не только градостроительные задачи, но и создается база для будущего увеличения налоговых (земельного налога) и неналоговых (арендная плата и доходы от продажи земельных участков) поступлений в бюджет.</w:t>
      </w:r>
    </w:p>
    <w:p w:rsidR="001946F1" w:rsidRPr="0080019F" w:rsidRDefault="001946F1" w:rsidP="001946F1">
      <w:pPr>
        <w:spacing w:after="0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0019F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период с 01.01.2015 по 31.12.2015 в собственность городского округа з</w:t>
      </w:r>
      <w:r w:rsidRPr="0080019F">
        <w:rPr>
          <w:rFonts w:ascii="Times New Roman" w:eastAsia="Calibri" w:hAnsi="Times New Roman" w:cs="Times New Roman"/>
          <w:sz w:val="28"/>
          <w:szCs w:val="28"/>
        </w:rPr>
        <w:t xml:space="preserve">арегистрировано 55 земельных участков, общей площадью </w:t>
      </w:r>
      <w:r w:rsidRPr="0080019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142,2 га,</w:t>
      </w:r>
      <w:r w:rsidRPr="00800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занимаемых зданиями, сооружениями, находящимися в муниципальной собственности, либо предоставленных муниципальным учреждениям и предприятиям.</w:t>
      </w:r>
    </w:p>
    <w:p w:rsidR="001946F1" w:rsidRPr="00D27A08" w:rsidRDefault="001946F1" w:rsidP="001946F1">
      <w:pPr>
        <w:spacing w:after="1" w:line="220" w:lineRule="atLeas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6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формлено </w:t>
      </w:r>
      <w:r w:rsidRPr="001626CE">
        <w:rPr>
          <w:rFonts w:ascii="Times New Roman" w:eastAsia="Times New Roman" w:hAnsi="Times New Roman" w:cs="Times New Roman"/>
          <w:sz w:val="28"/>
          <w:szCs w:val="28"/>
          <w:lang w:eastAsia="ru-RU"/>
        </w:rPr>
        <w:t>169 договоров купли-продажи земель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участков, площадью 32,25 га,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передано бесплатно 38 земельных участков, </w:t>
      </w:r>
      <w:r w:rsidRPr="00177D96">
        <w:rPr>
          <w:rFonts w:ascii="Times New Roman" w:eastAsia="Calibri" w:hAnsi="Times New Roman" w:cs="Times New Roman"/>
          <w:sz w:val="28"/>
          <w:szCs w:val="28"/>
        </w:rPr>
        <w:t xml:space="preserve">площадью </w:t>
      </w:r>
      <w:r>
        <w:rPr>
          <w:rFonts w:ascii="Times New Roman" w:eastAsia="Calibri" w:hAnsi="Times New Roman" w:cs="Times New Roman"/>
          <w:sz w:val="28"/>
          <w:szCs w:val="28"/>
        </w:rPr>
        <w:t>- 4,26</w:t>
      </w:r>
      <w:r w:rsidRPr="00177D96">
        <w:rPr>
          <w:rFonts w:ascii="Times New Roman" w:eastAsia="Calibri" w:hAnsi="Times New Roman" w:cs="Times New Roman"/>
          <w:sz w:val="28"/>
          <w:szCs w:val="28"/>
        </w:rPr>
        <w:t xml:space="preserve"> га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8001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5C6E">
        <w:rPr>
          <w:rFonts w:ascii="Times New Roman" w:eastAsia="Calibri" w:hAnsi="Times New Roman" w:cs="Times New Roman"/>
          <w:sz w:val="28"/>
          <w:szCs w:val="28"/>
        </w:rPr>
        <w:t>льготны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0B5C6E">
        <w:rPr>
          <w:rFonts w:ascii="Times New Roman" w:eastAsia="Calibri" w:hAnsi="Times New Roman" w:cs="Times New Roman"/>
          <w:sz w:val="28"/>
          <w:szCs w:val="28"/>
        </w:rPr>
        <w:t xml:space="preserve"> категори</w:t>
      </w:r>
      <w:r>
        <w:rPr>
          <w:rFonts w:ascii="Times New Roman" w:eastAsia="Calibri" w:hAnsi="Times New Roman" w:cs="Times New Roman"/>
          <w:sz w:val="28"/>
          <w:szCs w:val="28"/>
        </w:rPr>
        <w:t>ям</w:t>
      </w:r>
      <w:r w:rsidRPr="000B5C6E">
        <w:rPr>
          <w:rFonts w:ascii="Times New Roman" w:eastAsia="Calibri" w:hAnsi="Times New Roman" w:cs="Times New Roman"/>
          <w:sz w:val="28"/>
          <w:szCs w:val="28"/>
        </w:rPr>
        <w:t xml:space="preserve"> граждан</w:t>
      </w:r>
      <w:r w:rsidRPr="00DE77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5C6E">
        <w:rPr>
          <w:rFonts w:ascii="Times New Roman" w:eastAsia="Calibri" w:hAnsi="Times New Roman" w:cs="Times New Roman"/>
          <w:sz w:val="28"/>
          <w:szCs w:val="28"/>
        </w:rPr>
        <w:t>для целей индивидуального жилищного строительства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DE77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многодетным семьям - 22 </w:t>
      </w:r>
      <w:r w:rsidRPr="00177D96">
        <w:rPr>
          <w:rFonts w:ascii="Times New Roman" w:eastAsia="Calibri" w:hAnsi="Times New Roman" w:cs="Times New Roman"/>
          <w:sz w:val="28"/>
          <w:szCs w:val="28"/>
        </w:rPr>
        <w:t xml:space="preserve">земельных участков, площадью </w:t>
      </w:r>
      <w:r>
        <w:rPr>
          <w:rFonts w:ascii="Times New Roman" w:eastAsia="Calibri" w:hAnsi="Times New Roman" w:cs="Times New Roman"/>
          <w:sz w:val="28"/>
          <w:szCs w:val="28"/>
        </w:rPr>
        <w:t>2,14 га.</w:t>
      </w:r>
    </w:p>
    <w:p w:rsidR="001946F1" w:rsidRPr="00DE77EF" w:rsidRDefault="001946F1" w:rsidP="001946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B5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роводилась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</w:t>
      </w:r>
      <w:r w:rsidRPr="000B5C6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 для проведения аукционов по продаже права на заключени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B5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 аренды для строительства объектов капитального строительства</w:t>
      </w:r>
      <w:r w:rsidRPr="003E17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2015 году</w:t>
      </w:r>
      <w:r w:rsidRPr="00DE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поступивших </w:t>
      </w:r>
      <w:r w:rsidRPr="00DE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E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продажи земельных участков составил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E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77EF">
        <w:rPr>
          <w:rFonts w:ascii="Times New Roman" w:hAnsi="Times New Roman" w:cs="Times New Roman"/>
          <w:sz w:val="28"/>
          <w:szCs w:val="28"/>
        </w:rPr>
        <w:t>36,490</w:t>
      </w:r>
      <w:r w:rsidRPr="00DE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DE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1946F1" w:rsidRPr="00B72BF6" w:rsidRDefault="001946F1" w:rsidP="001946F1">
      <w:pPr>
        <w:spacing w:before="60" w:after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01.01.2016 учтено 2060 действующих договоров аренды земельных участков, общей площадью 890,2 га, из них:</w:t>
      </w:r>
    </w:p>
    <w:p w:rsidR="001946F1" w:rsidRPr="00B72BF6" w:rsidRDefault="001946F1" w:rsidP="001946F1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B72BF6">
        <w:rPr>
          <w:rFonts w:ascii="Times New Roman" w:hAnsi="Times New Roman" w:cs="Times New Roman"/>
          <w:sz w:val="28"/>
          <w:szCs w:val="28"/>
        </w:rPr>
        <w:t xml:space="preserve">на земельные участки, право </w:t>
      </w:r>
      <w:proofErr w:type="gramStart"/>
      <w:r w:rsidRPr="00B72BF6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B72BF6">
        <w:rPr>
          <w:rFonts w:ascii="Times New Roman" w:hAnsi="Times New Roman" w:cs="Times New Roman"/>
          <w:sz w:val="28"/>
          <w:szCs w:val="28"/>
        </w:rPr>
        <w:t xml:space="preserve"> на которые не разграничено, - </w:t>
      </w:r>
      <w:r w:rsidR="00EA1716" w:rsidRPr="00B72BF6">
        <w:rPr>
          <w:rFonts w:ascii="Times New Roman" w:hAnsi="Times New Roman" w:cs="Times New Roman"/>
          <w:sz w:val="28"/>
          <w:szCs w:val="28"/>
        </w:rPr>
        <w:t>1972</w:t>
      </w:r>
      <w:r w:rsidRPr="00B72BF6">
        <w:rPr>
          <w:rFonts w:ascii="Times New Roman" w:hAnsi="Times New Roman" w:cs="Times New Roman"/>
          <w:sz w:val="28"/>
          <w:szCs w:val="28"/>
        </w:rPr>
        <w:t xml:space="preserve"> договоров аренды на общую площадь</w:t>
      </w:r>
      <w:r w:rsidR="00EA1716">
        <w:rPr>
          <w:rFonts w:ascii="Times New Roman" w:hAnsi="Times New Roman" w:cs="Times New Roman"/>
          <w:sz w:val="28"/>
          <w:szCs w:val="28"/>
        </w:rPr>
        <w:t xml:space="preserve"> </w:t>
      </w:r>
      <w:r w:rsidR="00EA1716" w:rsidRPr="00B72BF6">
        <w:rPr>
          <w:rFonts w:ascii="Times New Roman" w:hAnsi="Times New Roman" w:cs="Times New Roman"/>
          <w:sz w:val="28"/>
          <w:szCs w:val="28"/>
        </w:rPr>
        <w:t>809,3 га</w:t>
      </w:r>
      <w:r w:rsidRPr="00B72BF6">
        <w:rPr>
          <w:rFonts w:ascii="Times New Roman" w:hAnsi="Times New Roman" w:cs="Times New Roman"/>
          <w:sz w:val="28"/>
          <w:szCs w:val="28"/>
        </w:rPr>
        <w:t>;</w:t>
      </w:r>
    </w:p>
    <w:p w:rsidR="001946F1" w:rsidRPr="00B72BF6" w:rsidRDefault="001946F1" w:rsidP="001946F1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B72BF6">
        <w:rPr>
          <w:rFonts w:ascii="Times New Roman" w:hAnsi="Times New Roman" w:cs="Times New Roman"/>
          <w:sz w:val="28"/>
          <w:szCs w:val="28"/>
        </w:rPr>
        <w:t xml:space="preserve">- на земельные участки, находящиеся в муниципальной собственности, -  </w:t>
      </w:r>
      <w:r w:rsidR="00EA1716" w:rsidRPr="00B72BF6">
        <w:rPr>
          <w:rFonts w:ascii="Times New Roman" w:hAnsi="Times New Roman" w:cs="Times New Roman"/>
          <w:sz w:val="28"/>
          <w:szCs w:val="28"/>
        </w:rPr>
        <w:t>88</w:t>
      </w:r>
      <w:r w:rsidR="00EA1716">
        <w:rPr>
          <w:rFonts w:ascii="Times New Roman" w:hAnsi="Times New Roman" w:cs="Times New Roman"/>
          <w:sz w:val="28"/>
          <w:szCs w:val="28"/>
        </w:rPr>
        <w:t xml:space="preserve"> </w:t>
      </w:r>
      <w:r w:rsidRPr="00B72BF6">
        <w:rPr>
          <w:rFonts w:ascii="Times New Roman" w:hAnsi="Times New Roman" w:cs="Times New Roman"/>
          <w:sz w:val="28"/>
          <w:szCs w:val="28"/>
        </w:rPr>
        <w:t>договоров на общую площадь</w:t>
      </w:r>
      <w:r w:rsidR="00EA1716">
        <w:rPr>
          <w:rFonts w:ascii="Times New Roman" w:hAnsi="Times New Roman" w:cs="Times New Roman"/>
          <w:sz w:val="28"/>
          <w:szCs w:val="28"/>
        </w:rPr>
        <w:t xml:space="preserve"> </w:t>
      </w:r>
      <w:r w:rsidR="00EA1716" w:rsidRPr="00B72BF6">
        <w:rPr>
          <w:rFonts w:ascii="Times New Roman" w:hAnsi="Times New Roman" w:cs="Times New Roman"/>
          <w:sz w:val="28"/>
          <w:szCs w:val="28"/>
        </w:rPr>
        <w:t>80,9 га</w:t>
      </w:r>
      <w:r w:rsidRPr="00B72BF6">
        <w:rPr>
          <w:rFonts w:ascii="Times New Roman" w:hAnsi="Times New Roman" w:cs="Times New Roman"/>
          <w:sz w:val="28"/>
          <w:szCs w:val="28"/>
        </w:rPr>
        <w:t>.</w:t>
      </w:r>
    </w:p>
    <w:p w:rsidR="001946F1" w:rsidRPr="00A609DE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Фактическое поступление доходов от аренды земельных участков в бюджет городского округа за год </w:t>
      </w:r>
      <w:r w:rsidRPr="00A60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163,834 </w:t>
      </w:r>
      <w:proofErr w:type="gramStart"/>
      <w:r w:rsidRPr="00A609D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A60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из них:</w:t>
      </w:r>
    </w:p>
    <w:p w:rsidR="001946F1" w:rsidRPr="00A609DE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земельным участки, государственная собственность на которые не разграничена </w:t>
      </w:r>
      <w:r w:rsidRPr="00A609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60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127,344 </w:t>
      </w:r>
      <w:proofErr w:type="gramStart"/>
      <w:r w:rsidRPr="00A609D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A60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946F1" w:rsidRPr="00A609DE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609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земельны</w:t>
      </w:r>
      <w:r w:rsid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60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EA1716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A60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находящиеся в муниципальной собственности – 36,490 </w:t>
      </w:r>
      <w:proofErr w:type="gramStart"/>
      <w:r w:rsidRPr="00A609D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A60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946F1" w:rsidRPr="004676DF" w:rsidRDefault="001946F1" w:rsidP="001946F1">
      <w:pPr>
        <w:widowControl w:val="0"/>
        <w:autoSpaceDE w:val="0"/>
        <w:autoSpaceDN w:val="0"/>
        <w:spacing w:after="0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2014 годом доходы снижены на </w:t>
      </w:r>
      <w:r w:rsidRPr="00F122C0">
        <w:rPr>
          <w:rFonts w:ascii="Times New Roman" w:eastAsia="Times New Roman" w:hAnsi="Times New Roman" w:cs="Times New Roman"/>
          <w:sz w:val="28"/>
          <w:szCs w:val="28"/>
          <w:lang w:eastAsia="ru-RU"/>
        </w:rPr>
        <w:t>59,8</w:t>
      </w:r>
      <w:r w:rsidRPr="00467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в связи с изменением федерального и краевого законодательства по начислению арендной платы в сторону снижения, а также с неуплатой арендной платы муниципальными предприятиями.</w:t>
      </w:r>
    </w:p>
    <w:p w:rsidR="001946F1" w:rsidRPr="005C3726" w:rsidRDefault="001946F1" w:rsidP="0077364B">
      <w:pPr>
        <w:widowControl w:val="0"/>
        <w:autoSpaceDE w:val="0"/>
        <w:autoSpaceDN w:val="0"/>
        <w:adjustRightInd w:val="0"/>
        <w:spacing w:after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236">
        <w:rPr>
          <w:rFonts w:ascii="Times New Roman" w:hAnsi="Times New Roman" w:cs="Times New Roman"/>
          <w:sz w:val="28"/>
          <w:szCs w:val="28"/>
        </w:rPr>
        <w:t>В целях мобилизации доходов</w:t>
      </w:r>
      <w:r w:rsidRPr="00F1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городского округа проводилась претензионная работа к арендаторам-неплательщикам. </w:t>
      </w:r>
      <w:r w:rsidRPr="00F10236">
        <w:rPr>
          <w:rFonts w:ascii="Times New Roman" w:hAnsi="Times New Roman" w:cs="Times New Roman"/>
          <w:sz w:val="28"/>
          <w:szCs w:val="28"/>
        </w:rPr>
        <w:t xml:space="preserve">По судебным решениям о взыскании задолженности по арендной плате за землю  в бюджет города поступило </w:t>
      </w:r>
      <w:r w:rsidRPr="00F10236">
        <w:rPr>
          <w:rFonts w:ascii="Times New Roman" w:eastAsia="Times New Roman" w:hAnsi="Times New Roman" w:cs="Times New Roman"/>
          <w:sz w:val="28"/>
          <w:szCs w:val="28"/>
          <w:lang w:eastAsia="ru-RU"/>
        </w:rPr>
        <w:t>22,3 млн. рублей,</w:t>
      </w:r>
      <w:r w:rsidRPr="00F10236">
        <w:rPr>
          <w:rFonts w:ascii="Times New Roman" w:hAnsi="Times New Roman" w:cs="Times New Roman"/>
          <w:sz w:val="28"/>
          <w:szCs w:val="28"/>
        </w:rPr>
        <w:t xml:space="preserve"> в том числе сумма основного долга 15,3</w:t>
      </w:r>
      <w:r w:rsidRPr="00F1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сумма пени и процентов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10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почти 7,0 млн. рублей</w:t>
      </w:r>
      <w:r w:rsidRPr="004A0B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46F1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>.2016 года заключено 2008 договоров аренды земельных участков, в том числе 58 договоров аренды земельных участков, находящихся в собственности городского округа.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</w:t>
      </w: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 аренды земельных участков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уменьшилось по сравнению с началом 2016 года на 52 единицы.</w:t>
      </w:r>
    </w:p>
    <w:p w:rsidR="001946F1" w:rsidRPr="00EE132F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месяцев текущего года </w:t>
      </w: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доход бюджета городского округа от аренды земельных участков поступило 65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1946F1" w:rsidRPr="00EE132F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от продажи земельных участков:</w:t>
      </w:r>
    </w:p>
    <w:p w:rsidR="001946F1" w:rsidRPr="00EE132F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 принадлежащих на праве муниципальной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46F1" w:rsidRPr="00EE132F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государственная собственность на которые не разграничена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>794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EE13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46F1" w:rsidRDefault="001946F1" w:rsidP="001946F1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оценке, в 2016 году площадь земельных участков, предоставленных в аренду, увеличится на 4,0 % по сравнению с 2015 годом и составит на 01.01.2017 года </w:t>
      </w:r>
      <w:r w:rsidRPr="0023217B">
        <w:rPr>
          <w:rFonts w:ascii="Times New Roman" w:eastAsia="Times New Roman" w:hAnsi="Times New Roman" w:cs="Times New Roman"/>
          <w:sz w:val="28"/>
          <w:szCs w:val="28"/>
          <w:lang w:eastAsia="ru-RU"/>
        </w:rPr>
        <w:t>925,97 тыс. квадратных метров.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Ожидаемое поступление доходов от аренды земельных участков в бюджет городского округа составит 131,793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что на 3,5 % превысит сумму аналогичных доходов за 2015 год.</w:t>
      </w:r>
    </w:p>
    <w:p w:rsidR="001946F1" w:rsidRPr="00460FD7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2CB2">
        <w:rPr>
          <w:rFonts w:ascii="Times New Roman" w:eastAsia="Calibri" w:hAnsi="Times New Roman" w:cs="Times New Roman"/>
          <w:sz w:val="28"/>
          <w:szCs w:val="28"/>
        </w:rPr>
        <w:t>В 2017-2019 годах</w:t>
      </w:r>
      <w:r w:rsidRPr="00622CB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622CB2">
        <w:rPr>
          <w:rFonts w:ascii="Times New Roman" w:eastAsia="Calibri" w:hAnsi="Times New Roman" w:cs="Times New Roman"/>
          <w:sz w:val="28"/>
          <w:szCs w:val="28"/>
        </w:rPr>
        <w:t>деятельность</w:t>
      </w:r>
      <w:r w:rsidRPr="009107FF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городского округа в сфере управления и распоряжения муниципальным имуществом, вовлеченным в земельные правоотношения, будет направлена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рациональное и </w:t>
      </w:r>
      <w:proofErr w:type="spellStart"/>
      <w:r w:rsidRPr="009107FF">
        <w:rPr>
          <w:rFonts w:ascii="Times New Roman" w:hAnsi="Times New Roman" w:cs="Times New Roman"/>
          <w:sz w:val="28"/>
          <w:szCs w:val="28"/>
        </w:rPr>
        <w:t>эффективности</w:t>
      </w:r>
      <w:r w:rsidR="00EA1716">
        <w:rPr>
          <w:rFonts w:ascii="Times New Roman" w:hAnsi="Times New Roman" w:cs="Times New Roman"/>
          <w:sz w:val="28"/>
          <w:szCs w:val="28"/>
        </w:rPr>
        <w:t>вное</w:t>
      </w:r>
      <w:proofErr w:type="spellEnd"/>
      <w:r w:rsidRPr="009107FF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107FF">
        <w:rPr>
          <w:rFonts w:ascii="Times New Roman" w:hAnsi="Times New Roman" w:cs="Times New Roman"/>
          <w:sz w:val="28"/>
          <w:szCs w:val="28"/>
        </w:rPr>
        <w:t xml:space="preserve"> земель, сохранен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9107FF">
        <w:rPr>
          <w:rFonts w:ascii="Times New Roman" w:hAnsi="Times New Roman" w:cs="Times New Roman"/>
          <w:sz w:val="28"/>
          <w:szCs w:val="28"/>
        </w:rPr>
        <w:t xml:space="preserve"> уровня доходности бюджета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7FF">
        <w:rPr>
          <w:rFonts w:ascii="Times New Roman" w:hAnsi="Times New Roman" w:cs="Times New Roman"/>
          <w:sz w:val="28"/>
          <w:szCs w:val="28"/>
        </w:rPr>
        <w:t>от использования и распоряжения земельными участками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1946F1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9107FF">
        <w:rPr>
          <w:rFonts w:ascii="Times New Roman" w:hAnsi="Times New Roman" w:cs="Times New Roman"/>
          <w:sz w:val="28"/>
          <w:szCs w:val="28"/>
        </w:rPr>
        <w:t xml:space="preserve">рогнозируется выполнение </w:t>
      </w:r>
      <w:r w:rsidRPr="009107F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землеустройству и землепользованию, в том числе работы по формированию земельных участков под многоквартирны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910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910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9107FF"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10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 для проведения аукционов по продаже права на заключение договоров аренды</w:t>
      </w:r>
      <w:r w:rsidRPr="009107FF">
        <w:rPr>
          <w:rFonts w:ascii="Times New Roman" w:hAnsi="Times New Roman" w:cs="Times New Roman"/>
          <w:sz w:val="28"/>
          <w:szCs w:val="28"/>
        </w:rPr>
        <w:t>, права собственности на земельные участки.</w:t>
      </w:r>
      <w:proofErr w:type="gramEnd"/>
    </w:p>
    <w:p w:rsidR="001946F1" w:rsidRPr="00AB7BDE" w:rsidRDefault="001946F1" w:rsidP="001946F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B7BDE">
        <w:rPr>
          <w:rFonts w:ascii="Times New Roman" w:hAnsi="Times New Roman" w:cs="Times New Roman"/>
          <w:sz w:val="28"/>
          <w:szCs w:val="28"/>
        </w:rPr>
        <w:t xml:space="preserve">По прогнозу, сумма поступлений в бюджет городского округа от продажи земельных участков в 2017 году </w:t>
      </w:r>
      <w:r w:rsidR="00622CB2">
        <w:rPr>
          <w:rFonts w:ascii="Times New Roman" w:hAnsi="Times New Roman" w:cs="Times New Roman"/>
          <w:sz w:val="28"/>
          <w:szCs w:val="28"/>
        </w:rPr>
        <w:t xml:space="preserve">обоим </w:t>
      </w:r>
      <w:r w:rsidRPr="00AB7BDE">
        <w:rPr>
          <w:rFonts w:ascii="Times New Roman" w:hAnsi="Times New Roman" w:cs="Times New Roman"/>
          <w:sz w:val="28"/>
          <w:szCs w:val="28"/>
        </w:rPr>
        <w:t xml:space="preserve">вариантам </w:t>
      </w:r>
      <w:r w:rsidR="00622CB2">
        <w:rPr>
          <w:rFonts w:ascii="Times New Roman" w:hAnsi="Times New Roman" w:cs="Times New Roman"/>
          <w:sz w:val="28"/>
          <w:szCs w:val="28"/>
        </w:rPr>
        <w:t xml:space="preserve">Прогноза </w:t>
      </w:r>
      <w:r w:rsidRPr="00AB7BDE">
        <w:rPr>
          <w:rFonts w:ascii="Times New Roman" w:hAnsi="Times New Roman" w:cs="Times New Roman"/>
          <w:sz w:val="28"/>
          <w:szCs w:val="28"/>
        </w:rPr>
        <w:t xml:space="preserve">ожидается на уровне </w:t>
      </w:r>
      <w:r>
        <w:rPr>
          <w:rFonts w:ascii="Times New Roman" w:hAnsi="Times New Roman" w:cs="Times New Roman"/>
          <w:sz w:val="28"/>
          <w:szCs w:val="28"/>
        </w:rPr>
        <w:t>42,117</w:t>
      </w:r>
      <w:r w:rsidRPr="00AB7B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7BDE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AB7BDE">
        <w:rPr>
          <w:rFonts w:ascii="Times New Roman" w:hAnsi="Times New Roman" w:cs="Times New Roman"/>
          <w:sz w:val="28"/>
          <w:szCs w:val="28"/>
        </w:rPr>
        <w:t xml:space="preserve"> рублей,</w:t>
      </w:r>
      <w:r>
        <w:rPr>
          <w:rFonts w:ascii="Times New Roman" w:hAnsi="Times New Roman" w:cs="Times New Roman"/>
          <w:sz w:val="28"/>
          <w:szCs w:val="28"/>
        </w:rPr>
        <w:t xml:space="preserve"> увеличится на 17,1 %</w:t>
      </w:r>
      <w:r w:rsidRPr="00AB7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сравнению с 2016 годом. В</w:t>
      </w:r>
      <w:r w:rsidRPr="00AB7BDE">
        <w:rPr>
          <w:rFonts w:ascii="Times New Roman" w:hAnsi="Times New Roman" w:cs="Times New Roman"/>
          <w:sz w:val="28"/>
          <w:szCs w:val="28"/>
        </w:rPr>
        <w:t xml:space="preserve"> 2018 году и в 2019 году </w:t>
      </w:r>
      <w:r>
        <w:rPr>
          <w:rFonts w:ascii="Times New Roman" w:hAnsi="Times New Roman" w:cs="Times New Roman"/>
          <w:sz w:val="28"/>
          <w:szCs w:val="28"/>
        </w:rPr>
        <w:t xml:space="preserve">доходы в бюджет от продажи земельных участков </w:t>
      </w:r>
      <w:r w:rsidRPr="00AB7BDE">
        <w:rPr>
          <w:rFonts w:ascii="Times New Roman" w:hAnsi="Times New Roman" w:cs="Times New Roman"/>
          <w:sz w:val="28"/>
          <w:szCs w:val="28"/>
        </w:rPr>
        <w:t>прогнозируются на уровне 2017 года (</w:t>
      </w:r>
      <w:r w:rsidRPr="00AB7BDE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="00590CA1">
        <w:rPr>
          <w:rFonts w:ascii="Times New Roman" w:eastAsia="Calibri" w:hAnsi="Times New Roman" w:cs="Times New Roman"/>
          <w:sz w:val="28"/>
          <w:szCs w:val="28"/>
        </w:rPr>
        <w:t>19</w:t>
      </w:r>
      <w:r w:rsidRPr="00AB7BDE">
        <w:rPr>
          <w:rFonts w:ascii="Times New Roman" w:eastAsia="Calibri" w:hAnsi="Times New Roman" w:cs="Times New Roman"/>
          <w:sz w:val="28"/>
          <w:szCs w:val="28"/>
        </w:rPr>
        <w:t>.1.)</w:t>
      </w:r>
    </w:p>
    <w:p w:rsidR="001946F1" w:rsidRPr="00A55A43" w:rsidRDefault="001946F1" w:rsidP="001946F1">
      <w:pPr>
        <w:autoSpaceDE w:val="0"/>
        <w:autoSpaceDN w:val="0"/>
        <w:adjustRightInd w:val="0"/>
        <w:spacing w:after="0" w:line="232" w:lineRule="auto"/>
        <w:ind w:firstLine="851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55A43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W w:w="93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4"/>
        <w:gridCol w:w="567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1946F1" w:rsidRPr="00962AE6" w:rsidTr="008059C9">
        <w:trPr>
          <w:trHeight w:val="300"/>
        </w:trPr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8059C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8059C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="00EA1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proofErr w:type="spellEnd"/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изм.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590CA1" w:rsidRDefault="001946F1" w:rsidP="00EA1716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</w:t>
            </w:r>
          </w:p>
          <w:p w:rsidR="00590CA1" w:rsidRDefault="00590CA1" w:rsidP="00EA1716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="001946F1"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</w:t>
            </w:r>
          </w:p>
          <w:p w:rsidR="001946F1" w:rsidRPr="00962AE6" w:rsidRDefault="001946F1" w:rsidP="00EA1716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590CA1" w:rsidRDefault="001946F1" w:rsidP="00EA1716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  <w:p w:rsidR="001946F1" w:rsidRPr="00962AE6" w:rsidRDefault="001946F1" w:rsidP="00EA1716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  оценка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bottom"/>
            <w:hideMark/>
          </w:tcPr>
          <w:p w:rsidR="001946F1" w:rsidRPr="00962AE6" w:rsidRDefault="001946F1" w:rsidP="00EA17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</w:tr>
      <w:tr w:rsidR="001946F1" w:rsidRPr="00962AE6" w:rsidTr="008059C9">
        <w:trPr>
          <w:trHeight w:val="300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8059C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8059C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bottom"/>
            <w:hideMark/>
          </w:tcPr>
          <w:p w:rsidR="001946F1" w:rsidRPr="00962AE6" w:rsidRDefault="001946F1" w:rsidP="00EA171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bottom"/>
            <w:hideMark/>
          </w:tcPr>
          <w:p w:rsidR="001946F1" w:rsidRPr="00962AE6" w:rsidRDefault="001946F1" w:rsidP="00EA171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bottom"/>
            <w:hideMark/>
          </w:tcPr>
          <w:p w:rsidR="001946F1" w:rsidRPr="00962AE6" w:rsidRDefault="001946F1" w:rsidP="00EA171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</w:tr>
      <w:tr w:rsidR="001946F1" w:rsidRPr="00962AE6" w:rsidTr="008059C9">
        <w:trPr>
          <w:trHeight w:val="555"/>
        </w:trPr>
        <w:tc>
          <w:tcPr>
            <w:tcW w:w="2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8059C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8059C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вар.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вар.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вар.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вар.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вар.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spacing w:after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вар.</w:t>
            </w:r>
          </w:p>
        </w:tc>
      </w:tr>
      <w:tr w:rsidR="001946F1" w:rsidRPr="00962AE6" w:rsidTr="008059C9">
        <w:trPr>
          <w:trHeight w:val="680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  <w:hideMark/>
          </w:tcPr>
          <w:p w:rsidR="001946F1" w:rsidRPr="00067F50" w:rsidRDefault="001946F1" w:rsidP="008059C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7F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Доходы от муниципальной собственно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67F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ти,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  <w:hideMark/>
          </w:tcPr>
          <w:p w:rsidR="001946F1" w:rsidRPr="00067F50" w:rsidRDefault="001946F1" w:rsidP="008059C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67F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млн</w:t>
            </w:r>
            <w:proofErr w:type="gramEnd"/>
            <w:r w:rsidRPr="00067F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  <w:hideMark/>
          </w:tcPr>
          <w:p w:rsidR="001946F1" w:rsidRPr="00067F50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F50">
              <w:rPr>
                <w:rFonts w:ascii="Times New Roman" w:hAnsi="Times New Roman" w:cs="Times New Roman"/>
                <w:b/>
                <w:sz w:val="20"/>
                <w:szCs w:val="20"/>
              </w:rPr>
              <w:t>163,834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  <w:hideMark/>
          </w:tcPr>
          <w:p w:rsidR="001946F1" w:rsidRPr="00067F50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F50">
              <w:rPr>
                <w:rFonts w:ascii="Times New Roman" w:hAnsi="Times New Roman" w:cs="Times New Roman"/>
                <w:b/>
                <w:sz w:val="20"/>
                <w:szCs w:val="20"/>
              </w:rPr>
              <w:t>154,717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  <w:hideMark/>
          </w:tcPr>
          <w:p w:rsidR="001946F1" w:rsidRPr="00067F50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F50">
              <w:rPr>
                <w:rFonts w:ascii="Times New Roman" w:hAnsi="Times New Roman" w:cs="Times New Roman"/>
                <w:b/>
                <w:sz w:val="20"/>
                <w:szCs w:val="20"/>
              </w:rPr>
              <w:t>234,165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  <w:hideMark/>
          </w:tcPr>
          <w:p w:rsidR="001946F1" w:rsidRPr="00067F50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F50">
              <w:rPr>
                <w:rFonts w:ascii="Times New Roman" w:hAnsi="Times New Roman" w:cs="Times New Roman"/>
                <w:b/>
                <w:sz w:val="20"/>
                <w:szCs w:val="20"/>
              </w:rPr>
              <w:t>234,165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  <w:hideMark/>
          </w:tcPr>
          <w:p w:rsidR="001946F1" w:rsidRPr="00067F50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F50">
              <w:rPr>
                <w:rFonts w:ascii="Times New Roman" w:hAnsi="Times New Roman" w:cs="Times New Roman"/>
                <w:b/>
                <w:sz w:val="20"/>
                <w:szCs w:val="20"/>
              </w:rPr>
              <w:t>240,377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  <w:hideMark/>
          </w:tcPr>
          <w:p w:rsidR="001946F1" w:rsidRPr="00067F50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F50">
              <w:rPr>
                <w:rFonts w:ascii="Times New Roman" w:hAnsi="Times New Roman" w:cs="Times New Roman"/>
                <w:b/>
                <w:sz w:val="20"/>
                <w:szCs w:val="20"/>
              </w:rPr>
              <w:t>240,377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  <w:hideMark/>
          </w:tcPr>
          <w:p w:rsidR="001946F1" w:rsidRPr="00067F50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F50">
              <w:rPr>
                <w:rFonts w:ascii="Times New Roman" w:hAnsi="Times New Roman" w:cs="Times New Roman"/>
                <w:b/>
                <w:sz w:val="20"/>
                <w:szCs w:val="20"/>
              </w:rPr>
              <w:t>246,588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  <w:hideMark/>
          </w:tcPr>
          <w:p w:rsidR="001946F1" w:rsidRPr="00067F50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7F50">
              <w:rPr>
                <w:rFonts w:ascii="Times New Roman" w:hAnsi="Times New Roman" w:cs="Times New Roman"/>
                <w:b/>
                <w:sz w:val="20"/>
                <w:szCs w:val="20"/>
              </w:rPr>
              <w:t>246,588</w:t>
            </w:r>
          </w:p>
        </w:tc>
      </w:tr>
      <w:tr w:rsidR="001946F1" w:rsidRPr="00962AE6" w:rsidTr="008059C9">
        <w:trPr>
          <w:trHeight w:val="134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8059C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8059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bottom"/>
            <w:hideMark/>
          </w:tcPr>
          <w:p w:rsidR="001946F1" w:rsidRPr="00962AE6" w:rsidRDefault="001946F1" w:rsidP="00EA17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bottom"/>
            <w:hideMark/>
          </w:tcPr>
          <w:p w:rsidR="001946F1" w:rsidRPr="00962AE6" w:rsidRDefault="001946F1" w:rsidP="00EA17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bottom"/>
            <w:hideMark/>
          </w:tcPr>
          <w:p w:rsidR="001946F1" w:rsidRPr="00962AE6" w:rsidRDefault="001946F1" w:rsidP="00EA17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bottom"/>
            <w:hideMark/>
          </w:tcPr>
          <w:p w:rsidR="001946F1" w:rsidRPr="00962AE6" w:rsidRDefault="001946F1" w:rsidP="00EA17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bottom"/>
            <w:hideMark/>
          </w:tcPr>
          <w:p w:rsidR="001946F1" w:rsidRPr="00962AE6" w:rsidRDefault="001946F1" w:rsidP="00EA17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bottom"/>
            <w:hideMark/>
          </w:tcPr>
          <w:p w:rsidR="001946F1" w:rsidRPr="00962AE6" w:rsidRDefault="001946F1" w:rsidP="00EA17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bottom"/>
            <w:hideMark/>
          </w:tcPr>
          <w:p w:rsidR="001946F1" w:rsidRPr="00962AE6" w:rsidRDefault="001946F1" w:rsidP="00EA17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46F1" w:rsidRPr="00962AE6" w:rsidTr="008059C9">
        <w:trPr>
          <w:trHeight w:val="546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8059C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от аренды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8059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62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End"/>
            <w:r w:rsidRPr="00962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AE6">
              <w:rPr>
                <w:rFonts w:ascii="Times New Roman" w:hAnsi="Times New Roman" w:cs="Times New Roman"/>
                <w:sz w:val="20"/>
                <w:szCs w:val="20"/>
              </w:rPr>
              <w:t>127,344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AE6">
              <w:rPr>
                <w:rFonts w:ascii="Times New Roman" w:hAnsi="Times New Roman" w:cs="Times New Roman"/>
                <w:sz w:val="20"/>
                <w:szCs w:val="20"/>
              </w:rPr>
              <w:t>131,793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AE6">
              <w:rPr>
                <w:rFonts w:ascii="Times New Roman" w:hAnsi="Times New Roman" w:cs="Times New Roman"/>
                <w:sz w:val="20"/>
                <w:szCs w:val="20"/>
              </w:rPr>
              <w:t>198,590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AE6">
              <w:rPr>
                <w:rFonts w:ascii="Times New Roman" w:hAnsi="Times New Roman" w:cs="Times New Roman"/>
                <w:sz w:val="20"/>
                <w:szCs w:val="20"/>
              </w:rPr>
              <w:t>198,590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AE6">
              <w:rPr>
                <w:rFonts w:ascii="Times New Roman" w:hAnsi="Times New Roman" w:cs="Times New Roman"/>
                <w:sz w:val="20"/>
                <w:szCs w:val="20"/>
              </w:rPr>
              <w:t>204,802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AE6">
              <w:rPr>
                <w:rFonts w:ascii="Times New Roman" w:hAnsi="Times New Roman" w:cs="Times New Roman"/>
                <w:sz w:val="20"/>
                <w:szCs w:val="20"/>
              </w:rPr>
              <w:t>204,802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AE6">
              <w:rPr>
                <w:rFonts w:ascii="Times New Roman" w:hAnsi="Times New Roman" w:cs="Times New Roman"/>
                <w:sz w:val="20"/>
                <w:szCs w:val="20"/>
              </w:rPr>
              <w:t>211,013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AE6">
              <w:rPr>
                <w:rFonts w:ascii="Times New Roman" w:hAnsi="Times New Roman" w:cs="Times New Roman"/>
                <w:sz w:val="20"/>
                <w:szCs w:val="20"/>
              </w:rPr>
              <w:t>211,013</w:t>
            </w:r>
          </w:p>
        </w:tc>
      </w:tr>
      <w:tr w:rsidR="001946F1" w:rsidRPr="00962AE6" w:rsidTr="008059C9">
        <w:trPr>
          <w:trHeight w:val="498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8059C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от продажи  земельных участков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8059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62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</w:t>
            </w:r>
            <w:proofErr w:type="gramEnd"/>
            <w:r w:rsidRPr="00962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  <w:hideMark/>
          </w:tcPr>
          <w:p w:rsidR="001946F1" w:rsidRPr="00962AE6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AE6">
              <w:rPr>
                <w:rFonts w:ascii="Times New Roman" w:hAnsi="Times New Roman" w:cs="Times New Roman"/>
                <w:sz w:val="20"/>
                <w:szCs w:val="20"/>
              </w:rPr>
              <w:t>36,490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B72BF6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BF6">
              <w:rPr>
                <w:rFonts w:ascii="Times New Roman" w:hAnsi="Times New Roman" w:cs="Times New Roman"/>
                <w:sz w:val="20"/>
                <w:szCs w:val="20"/>
              </w:rPr>
              <w:t>35,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2D146A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2D146A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2D146A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2D146A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2D146A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  <w:hideMark/>
          </w:tcPr>
          <w:p w:rsidR="001946F1" w:rsidRPr="002D146A" w:rsidRDefault="001946F1" w:rsidP="00EA171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42,117</w:t>
            </w:r>
          </w:p>
        </w:tc>
      </w:tr>
    </w:tbl>
    <w:p w:rsidR="001946F1" w:rsidRPr="00AB7BDE" w:rsidRDefault="001946F1" w:rsidP="001946F1">
      <w:pPr>
        <w:spacing w:before="40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Т</w:t>
      </w:r>
      <w:r w:rsidRPr="00AB7BDE">
        <w:rPr>
          <w:rFonts w:ascii="Times New Roman" w:eastAsia="Calibri" w:hAnsi="Times New Roman" w:cs="Times New Roman"/>
          <w:i/>
          <w:sz w:val="24"/>
          <w:szCs w:val="24"/>
        </w:rPr>
        <w:t>аблиц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а </w:t>
      </w:r>
      <w:r w:rsidR="00590CA1">
        <w:rPr>
          <w:rFonts w:ascii="Times New Roman" w:eastAsia="Calibri" w:hAnsi="Times New Roman" w:cs="Times New Roman"/>
          <w:i/>
          <w:sz w:val="24"/>
          <w:szCs w:val="24"/>
        </w:rPr>
        <w:t>19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.1. </w:t>
      </w:r>
      <w:r w:rsidRPr="00AB7BDE">
        <w:rPr>
          <w:rFonts w:ascii="Times New Roman" w:eastAsia="Calibri" w:hAnsi="Times New Roman" w:cs="Times New Roman"/>
          <w:i/>
          <w:sz w:val="24"/>
          <w:szCs w:val="24"/>
        </w:rPr>
        <w:t xml:space="preserve">Прогноз поступления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неналоговых </w:t>
      </w:r>
      <w:r w:rsidRPr="00AB7BDE">
        <w:rPr>
          <w:rFonts w:ascii="Times New Roman" w:eastAsia="Calibri" w:hAnsi="Times New Roman" w:cs="Times New Roman"/>
          <w:i/>
          <w:sz w:val="24"/>
          <w:szCs w:val="24"/>
        </w:rPr>
        <w:t xml:space="preserve">доходов от земельных ресурсов, находящихся в </w:t>
      </w:r>
      <w:r>
        <w:rPr>
          <w:rFonts w:ascii="Times New Roman" w:eastAsia="Calibri" w:hAnsi="Times New Roman" w:cs="Times New Roman"/>
          <w:i/>
          <w:sz w:val="24"/>
          <w:szCs w:val="24"/>
        </w:rPr>
        <w:t>м</w:t>
      </w:r>
      <w:r w:rsidRPr="00AB7BDE">
        <w:rPr>
          <w:rFonts w:ascii="Times New Roman" w:eastAsia="Calibri" w:hAnsi="Times New Roman" w:cs="Times New Roman"/>
          <w:i/>
          <w:sz w:val="24"/>
          <w:szCs w:val="24"/>
        </w:rPr>
        <w:t xml:space="preserve">униципальной собственности городского округа </w:t>
      </w:r>
      <w:r w:rsidR="00EA1716">
        <w:rPr>
          <w:rFonts w:ascii="Times New Roman" w:eastAsia="Calibri" w:hAnsi="Times New Roman" w:cs="Times New Roman"/>
          <w:i/>
          <w:sz w:val="24"/>
          <w:szCs w:val="24"/>
        </w:rPr>
        <w:t>на период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2017-2019 год</w:t>
      </w:r>
      <w:r w:rsidR="00EA1716">
        <w:rPr>
          <w:rFonts w:ascii="Times New Roman" w:eastAsia="Calibri" w:hAnsi="Times New Roman" w:cs="Times New Roman"/>
          <w:i/>
          <w:sz w:val="24"/>
          <w:szCs w:val="24"/>
        </w:rPr>
        <w:t>ов</w:t>
      </w:r>
      <w:r w:rsidRPr="00AB7BD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1946F1" w:rsidRDefault="001946F1" w:rsidP="001946F1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2017-2019 годах прогнозируется рост доходов в бюджет городского округа от аренды земельных участков (</w:t>
      </w:r>
      <w:r w:rsidRPr="00AB7BDE">
        <w:rPr>
          <w:rFonts w:ascii="Times New Roman" w:eastAsia="Calibri" w:hAnsi="Times New Roman" w:cs="Times New Roman"/>
          <w:sz w:val="28"/>
          <w:szCs w:val="28"/>
        </w:rPr>
        <w:t>таблица 4.3.1.)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946F1" w:rsidRDefault="001946F1" w:rsidP="001946F1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2017 году, по </w:t>
      </w:r>
      <w:r w:rsidR="00622C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вариантам</w:t>
      </w:r>
      <w:r w:rsidR="00622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составят 198,50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что на 50,6 % больше, чем ожидаемые доходы от аренды земельных участков за 2016 год. </w:t>
      </w:r>
    </w:p>
    <w:p w:rsidR="001946F1" w:rsidRPr="00590CA1" w:rsidRDefault="001946F1" w:rsidP="001946F1">
      <w:pPr>
        <w:autoSpaceDE w:val="0"/>
        <w:autoSpaceDN w:val="0"/>
        <w:adjustRightInd w:val="0"/>
        <w:spacing w:after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2018 году и 2019 году (по </w:t>
      </w:r>
      <w:r w:rsidR="00622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варианту 1 Прогноза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22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варианту 2 Прогноза)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доходов прогнозируется на 3,1% и 3,0%, соответственно, к предшествующему году.</w:t>
      </w:r>
    </w:p>
    <w:p w:rsidR="001946F1" w:rsidRPr="00590CA1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A1">
        <w:rPr>
          <w:rFonts w:ascii="Times New Roman" w:hAnsi="Times New Roman" w:cs="Times New Roman"/>
          <w:sz w:val="28"/>
          <w:szCs w:val="28"/>
        </w:rPr>
        <w:lastRenderedPageBreak/>
        <w:t xml:space="preserve">В целях мобилизации доходов в бюджет городского округа и увеличения налогооблагаемой базы по уплате земельного налога в прогнозном периоде </w:t>
      </w:r>
      <w:r w:rsidRPr="00590C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будут проводиться мероприятия:</w:t>
      </w:r>
    </w:p>
    <w:p w:rsidR="001946F1" w:rsidRPr="00590CA1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A1">
        <w:rPr>
          <w:rFonts w:ascii="Times New Roman" w:eastAsia="Times New Roman" w:hAnsi="Times New Roman" w:cs="Times New Roman"/>
          <w:sz w:val="28"/>
          <w:szCs w:val="28"/>
          <w:lang w:eastAsia="ru-RU"/>
        </w:rPr>
        <w:t>- ежегодная систематизация и мониторинг земельных участков, проведение учетных мероприятий с целью выявления земельных участков, передача которых возможна в частную собственность;</w:t>
      </w:r>
    </w:p>
    <w:p w:rsidR="001946F1" w:rsidRPr="00590CA1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A1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раз в полугодие информирование населения округа о порядке выкупа земельных участков под капитальными объектами;</w:t>
      </w:r>
    </w:p>
    <w:p w:rsidR="001946F1" w:rsidRPr="00590CA1" w:rsidRDefault="001946F1" w:rsidP="001946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A1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раз в полугодие информирование населения округа о порядке и правилах оформления земельных участков в частную собственность.</w:t>
      </w:r>
    </w:p>
    <w:p w:rsidR="001946F1" w:rsidRPr="00590CA1" w:rsidRDefault="001946F1" w:rsidP="001946F1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590CA1">
        <w:rPr>
          <w:rFonts w:ascii="Times New Roman" w:hAnsi="Times New Roman" w:cs="Times New Roman"/>
          <w:sz w:val="28"/>
          <w:szCs w:val="28"/>
        </w:rPr>
        <w:t>- по инвентаризации и актуализации базы данных по договорам аренды земельных участков;</w:t>
      </w:r>
    </w:p>
    <w:p w:rsidR="001946F1" w:rsidRPr="00A00B4A" w:rsidRDefault="001946F1" w:rsidP="001946F1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590CA1">
        <w:rPr>
          <w:rFonts w:ascii="Times New Roman" w:hAnsi="Times New Roman" w:cs="Times New Roman"/>
          <w:sz w:val="28"/>
          <w:szCs w:val="28"/>
        </w:rPr>
        <w:t xml:space="preserve">- по администрированию </w:t>
      </w:r>
      <w:r w:rsidRPr="00A00B4A">
        <w:rPr>
          <w:rFonts w:ascii="Times New Roman" w:hAnsi="Times New Roman" w:cs="Times New Roman"/>
          <w:sz w:val="28"/>
          <w:szCs w:val="28"/>
        </w:rPr>
        <w:t>плательщиков арендных платежей за земельные участки;</w:t>
      </w:r>
    </w:p>
    <w:p w:rsidR="001946F1" w:rsidRDefault="001946F1" w:rsidP="001946F1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A00B4A">
        <w:rPr>
          <w:rFonts w:ascii="Times New Roman" w:hAnsi="Times New Roman" w:cs="Times New Roman"/>
          <w:sz w:val="28"/>
          <w:szCs w:val="28"/>
        </w:rPr>
        <w:t xml:space="preserve">- претензионная работа, работа со службой судебных приставов в целях </w:t>
      </w:r>
      <w:proofErr w:type="gramStart"/>
      <w:r w:rsidRPr="00A00B4A">
        <w:rPr>
          <w:rFonts w:ascii="Times New Roman" w:hAnsi="Times New Roman" w:cs="Times New Roman"/>
          <w:sz w:val="28"/>
          <w:szCs w:val="28"/>
        </w:rPr>
        <w:t>повышения эффективности взыскания задолженности</w:t>
      </w:r>
      <w:proofErr w:type="gramEnd"/>
      <w:r w:rsidRPr="00A00B4A">
        <w:rPr>
          <w:rFonts w:ascii="Times New Roman" w:hAnsi="Times New Roman" w:cs="Times New Roman"/>
          <w:sz w:val="28"/>
          <w:szCs w:val="28"/>
        </w:rPr>
        <w:t xml:space="preserve"> в принудительном порядке.</w:t>
      </w:r>
    </w:p>
    <w:p w:rsidR="006B42F1" w:rsidRPr="00E069E5" w:rsidRDefault="001946F1" w:rsidP="006B42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высвобождения</w:t>
      </w:r>
      <w:r w:rsidRPr="00494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 и вовлечения их в хозяйственный оборот запланированы мероприятия по сносу ветхих и аварийных зданий и </w:t>
      </w:r>
      <w:r w:rsidR="006B42F1" w:rsidRPr="00E069E5">
        <w:rPr>
          <w:rFonts w:ascii="Times New Roman" w:hAnsi="Times New Roman" w:cs="Times New Roman"/>
          <w:sz w:val="28"/>
          <w:szCs w:val="28"/>
        </w:rPr>
        <w:t xml:space="preserve">от самовольно установленных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некапитального строительства</w:t>
      </w:r>
      <w:r w:rsidR="006B42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46F1" w:rsidRDefault="001946F1" w:rsidP="00F031AC">
      <w:pPr>
        <w:spacing w:after="0"/>
        <w:ind w:left="-142" w:firstLine="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сфере земельных отношений в прогнозный период будет действовать </w:t>
      </w:r>
      <w:r w:rsidRPr="001F73D5">
        <w:rPr>
          <w:rFonts w:ascii="Times New Roman" w:eastAsia="Calibri" w:hAnsi="Times New Roman" w:cs="Times New Roman"/>
          <w:sz w:val="28"/>
          <w:szCs w:val="28"/>
        </w:rPr>
        <w:t>муниципальная программа «Совершенствование управления муниципальным</w:t>
      </w:r>
      <w:r w:rsidRPr="00400753">
        <w:rPr>
          <w:rFonts w:ascii="Times New Roman" w:eastAsia="Calibri" w:hAnsi="Times New Roman" w:cs="Times New Roman"/>
          <w:sz w:val="28"/>
          <w:szCs w:val="28"/>
        </w:rPr>
        <w:t xml:space="preserve"> имуществом </w:t>
      </w:r>
      <w:proofErr w:type="gramStart"/>
      <w:r w:rsidRPr="00400753">
        <w:rPr>
          <w:rFonts w:ascii="Times New Roman" w:eastAsia="Calibri" w:hAnsi="Times New Roman" w:cs="Times New Roman"/>
          <w:sz w:val="28"/>
          <w:szCs w:val="28"/>
        </w:rPr>
        <w:t>Петропавловск-Камчатского</w:t>
      </w:r>
      <w:proofErr w:type="gramEnd"/>
      <w:r w:rsidRPr="00400753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округа» (подпрограмма «Управление и распоряжение муниципальным имуществом, вовлеченным в земельные правоотношения</w:t>
      </w:r>
      <w:r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A63AFB" w:rsidRDefault="00A63AFB" w:rsidP="00F031AC">
      <w:pPr>
        <w:spacing w:after="0"/>
        <w:ind w:left="-142" w:firstLine="851"/>
        <w:rPr>
          <w:rFonts w:ascii="Times New Roman" w:eastAsia="Calibri" w:hAnsi="Times New Roman" w:cs="Times New Roman"/>
          <w:sz w:val="28"/>
          <w:szCs w:val="28"/>
        </w:rPr>
      </w:pPr>
    </w:p>
    <w:p w:rsidR="000955A9" w:rsidRDefault="00590CA1" w:rsidP="00A63AFB">
      <w:pPr>
        <w:pStyle w:val="1"/>
      </w:pPr>
      <w:bookmarkStart w:id="88" w:name="_Toc465927704"/>
      <w:r>
        <w:t>20</w:t>
      </w:r>
      <w:r w:rsidR="000955A9" w:rsidRPr="00B05E10">
        <w:t>. Жилищно-коммунальное хозяйство</w:t>
      </w:r>
      <w:bookmarkEnd w:id="35"/>
      <w:bookmarkEnd w:id="88"/>
    </w:p>
    <w:p w:rsidR="00A63AFB" w:rsidRPr="00A63AFB" w:rsidRDefault="00A63AFB" w:rsidP="00A63AFB">
      <w:bookmarkStart w:id="89" w:name="_GoBack"/>
      <w:bookmarkEnd w:id="89"/>
    </w:p>
    <w:p w:rsidR="000955A9" w:rsidRPr="00EA4D59" w:rsidRDefault="000955A9" w:rsidP="000955A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Жилищный фонд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Петропавловск-Камчатском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городском округе на конец 2015 года составил 4 475,5 тыс. рублей. </w:t>
      </w:r>
      <w:r w:rsidRPr="00EA4D59">
        <w:rPr>
          <w:rFonts w:ascii="Times New Roman" w:eastAsia="Calibri" w:hAnsi="Times New Roman" w:cs="Times New Roman"/>
          <w:sz w:val="28"/>
          <w:szCs w:val="28"/>
        </w:rPr>
        <w:t>По формам собственности жилищный фонд представлен следующим образом</w:t>
      </w:r>
      <w:r w:rsidRPr="0011777D">
        <w:rPr>
          <w:rFonts w:ascii="Times New Roman" w:eastAsia="Calibri" w:hAnsi="Times New Roman" w:cs="Times New Roman"/>
          <w:sz w:val="28"/>
          <w:szCs w:val="28"/>
        </w:rPr>
        <w:t>: 80,9 %</w:t>
      </w:r>
      <w:r w:rsidR="001962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EA4D59">
        <w:rPr>
          <w:rFonts w:ascii="Times New Roman" w:eastAsia="Calibri" w:hAnsi="Times New Roman" w:cs="Times New Roman"/>
          <w:sz w:val="28"/>
          <w:szCs w:val="28"/>
        </w:rPr>
        <w:t xml:space="preserve"> находится в частной собственности (из </w:t>
      </w:r>
      <w:r w:rsidRPr="0011777D">
        <w:rPr>
          <w:rFonts w:ascii="Times New Roman" w:eastAsia="Calibri" w:hAnsi="Times New Roman" w:cs="Times New Roman"/>
          <w:sz w:val="28"/>
          <w:szCs w:val="28"/>
        </w:rPr>
        <w:t>них 79,3 %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EA4D59">
        <w:rPr>
          <w:rFonts w:ascii="Times New Roman" w:eastAsia="Calibri" w:hAnsi="Times New Roman" w:cs="Times New Roman"/>
          <w:sz w:val="28"/>
          <w:szCs w:val="28"/>
        </w:rPr>
        <w:t xml:space="preserve"> в собственности граждан); </w:t>
      </w:r>
      <w:r w:rsidRPr="0011777D">
        <w:rPr>
          <w:rFonts w:ascii="Times New Roman" w:eastAsia="Calibri" w:hAnsi="Times New Roman" w:cs="Times New Roman"/>
          <w:sz w:val="28"/>
          <w:szCs w:val="28"/>
        </w:rPr>
        <w:t>12,1 % -</w:t>
      </w:r>
      <w:r w:rsidRPr="00EA4D59">
        <w:rPr>
          <w:rFonts w:ascii="Times New Roman" w:eastAsia="Calibri" w:hAnsi="Times New Roman" w:cs="Times New Roman"/>
          <w:sz w:val="28"/>
          <w:szCs w:val="28"/>
        </w:rPr>
        <w:t xml:space="preserve"> в муниципальной собственности; </w:t>
      </w:r>
      <w:r w:rsidRPr="0011777D">
        <w:rPr>
          <w:rFonts w:ascii="Times New Roman" w:eastAsia="Calibri" w:hAnsi="Times New Roman" w:cs="Times New Roman"/>
          <w:sz w:val="28"/>
          <w:szCs w:val="28"/>
        </w:rPr>
        <w:t>7,0 % -</w:t>
      </w:r>
      <w:r w:rsidRPr="00EA4D59">
        <w:rPr>
          <w:rFonts w:ascii="Times New Roman" w:eastAsia="Calibri" w:hAnsi="Times New Roman" w:cs="Times New Roman"/>
          <w:sz w:val="28"/>
          <w:szCs w:val="28"/>
        </w:rPr>
        <w:t xml:space="preserve"> в государственной собственности. </w:t>
      </w:r>
    </w:p>
    <w:p w:rsidR="000955A9" w:rsidRDefault="000955A9" w:rsidP="000955A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B4390">
        <w:rPr>
          <w:rFonts w:ascii="Times New Roman" w:eastAsia="Calibri" w:hAnsi="Times New Roman" w:cs="Times New Roman"/>
          <w:sz w:val="28"/>
          <w:szCs w:val="28"/>
        </w:rPr>
        <w:t xml:space="preserve">Площадь муниципального жилищного фонда </w:t>
      </w:r>
      <w:proofErr w:type="gramStart"/>
      <w:r w:rsidRPr="005B4390">
        <w:rPr>
          <w:rFonts w:ascii="Times New Roman" w:eastAsia="Calibri" w:hAnsi="Times New Roman" w:cs="Times New Roman"/>
          <w:sz w:val="28"/>
          <w:szCs w:val="28"/>
        </w:rPr>
        <w:t>на конец</w:t>
      </w:r>
      <w:proofErr w:type="gramEnd"/>
      <w:r w:rsidRPr="005B4390">
        <w:rPr>
          <w:rFonts w:ascii="Times New Roman" w:eastAsia="Calibri" w:hAnsi="Times New Roman" w:cs="Times New Roman"/>
          <w:sz w:val="28"/>
          <w:szCs w:val="28"/>
        </w:rPr>
        <w:t xml:space="preserve"> 2015 года составила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540,3 </w:t>
      </w:r>
      <w:r w:rsidRPr="005B4390">
        <w:rPr>
          <w:rFonts w:ascii="Times New Roman" w:eastAsia="Calibri" w:hAnsi="Times New Roman" w:cs="Times New Roman"/>
          <w:sz w:val="28"/>
          <w:szCs w:val="28"/>
        </w:rPr>
        <w:t xml:space="preserve">тыс. кв. метров, </w:t>
      </w:r>
      <w:r w:rsidRPr="0011777D">
        <w:rPr>
          <w:rFonts w:ascii="Times New Roman" w:eastAsia="Calibri" w:hAnsi="Times New Roman" w:cs="Times New Roman"/>
          <w:sz w:val="28"/>
          <w:szCs w:val="28"/>
        </w:rPr>
        <w:t>что на 55,4 тыс. кв.</w:t>
      </w:r>
      <w:r w:rsidRPr="00EA4D59">
        <w:rPr>
          <w:rFonts w:ascii="Times New Roman" w:eastAsia="Calibri" w:hAnsi="Times New Roman" w:cs="Times New Roman"/>
          <w:sz w:val="28"/>
          <w:szCs w:val="28"/>
        </w:rPr>
        <w:t xml:space="preserve"> метров </w:t>
      </w:r>
      <w:r>
        <w:rPr>
          <w:rFonts w:ascii="Times New Roman" w:eastAsia="Calibri" w:hAnsi="Times New Roman" w:cs="Times New Roman"/>
          <w:sz w:val="28"/>
          <w:szCs w:val="28"/>
        </w:rPr>
        <w:t>ниже уров</w:t>
      </w:r>
      <w:r w:rsidRPr="00EA4D59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EA4D59">
        <w:rPr>
          <w:rFonts w:ascii="Times New Roman" w:eastAsia="Calibri" w:hAnsi="Times New Roman" w:cs="Times New Roman"/>
          <w:sz w:val="28"/>
          <w:szCs w:val="28"/>
        </w:rPr>
        <w:t xml:space="preserve"> 2014 года. </w:t>
      </w:r>
    </w:p>
    <w:p w:rsidR="000955A9" w:rsidRPr="00AA0778" w:rsidRDefault="000955A9" w:rsidP="000955A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A0778">
        <w:rPr>
          <w:rFonts w:ascii="Times New Roman" w:eastAsia="Calibri" w:hAnsi="Times New Roman" w:cs="Times New Roman"/>
          <w:sz w:val="28"/>
          <w:szCs w:val="28"/>
        </w:rPr>
        <w:t>В связи с завершением приватизации жилых помещений, также повышается активность граждан по оформлению муниципальных квартир в собственность. Предполагается, что к концу 2019 года</w:t>
      </w:r>
      <w:r w:rsidR="005044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0778">
        <w:rPr>
          <w:rFonts w:ascii="Times New Roman" w:eastAsia="Calibri" w:hAnsi="Times New Roman" w:cs="Times New Roman"/>
          <w:sz w:val="28"/>
          <w:szCs w:val="28"/>
        </w:rPr>
        <w:t>(по первому варианту прогноза)  количество муниципального жилищного фонда  возрастет за счет предполагаемого окончания бесплатной передачи жилищного фонда в собственность граждан, и составит 562,0 тыс. кв. метров.</w:t>
      </w:r>
    </w:p>
    <w:p w:rsidR="00986BEE" w:rsidRPr="00986BEE" w:rsidRDefault="00986BEE" w:rsidP="00986BEE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направлениями деятельности администрации городского округа в сфере развития жилищно-коммунального </w:t>
      </w:r>
      <w:proofErr w:type="spellStart"/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хозяйстваявляется</w:t>
      </w:r>
      <w:proofErr w:type="spellEnd"/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улучшение состояния жилищного фонда и коммунальной инфраструктуры городского округа, а также обеспечение его надежности и эффективного функционирования.</w:t>
      </w:r>
    </w:p>
    <w:p w:rsidR="00986BEE" w:rsidRPr="00986BEE" w:rsidRDefault="00986BEE" w:rsidP="00986BEE">
      <w:pPr>
        <w:spacing w:after="0"/>
        <w:ind w:firstLine="851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Проблемами, тормозящими развитие </w:t>
      </w:r>
      <w:r w:rsidRPr="00986BE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жилищно-коммунального хозяйства городского округа, являются:</w:t>
      </w:r>
    </w:p>
    <w:p w:rsidR="00986BEE" w:rsidRPr="00986BEE" w:rsidRDefault="00986BEE" w:rsidP="00986BE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986BEE">
        <w:rPr>
          <w:rFonts w:ascii="Times New Roman" w:hAnsi="Times New Roman" w:cs="Times New Roman"/>
          <w:sz w:val="28"/>
          <w:szCs w:val="28"/>
        </w:rPr>
        <w:t>- высокий уровень износа объектов жилищного фонда и объектов коммунальной инфраструктуры;</w:t>
      </w:r>
    </w:p>
    <w:p w:rsidR="00986BEE" w:rsidRPr="00986BEE" w:rsidRDefault="00986BEE" w:rsidP="00986BE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986BEE">
        <w:rPr>
          <w:rFonts w:ascii="Times New Roman" w:hAnsi="Times New Roman" w:cs="Times New Roman"/>
          <w:sz w:val="28"/>
          <w:szCs w:val="28"/>
        </w:rPr>
        <w:t xml:space="preserve">- отсутствие механизмов привлечения в отрасль </w:t>
      </w:r>
      <w:r w:rsidRPr="00986BEE">
        <w:rPr>
          <w:rFonts w:ascii="Times New Roman" w:hAnsi="Times New Roman" w:cs="Times New Roman"/>
          <w:kern w:val="32"/>
          <w:sz w:val="28"/>
          <w:szCs w:val="28"/>
        </w:rPr>
        <w:t>жилищно-коммунального хозяйства</w:t>
      </w:r>
      <w:r w:rsidRPr="00986BEE">
        <w:rPr>
          <w:rFonts w:ascii="Times New Roman" w:hAnsi="Times New Roman" w:cs="Times New Roman"/>
          <w:sz w:val="28"/>
          <w:szCs w:val="28"/>
        </w:rPr>
        <w:t xml:space="preserve"> долгосрочных инвестиций; </w:t>
      </w:r>
    </w:p>
    <w:p w:rsidR="00986BEE" w:rsidRPr="00EB2C19" w:rsidRDefault="00986BEE" w:rsidP="00986B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2C19">
        <w:rPr>
          <w:rFonts w:ascii="Times New Roman" w:hAnsi="Times New Roman" w:cs="Times New Roman"/>
          <w:sz w:val="28"/>
          <w:szCs w:val="28"/>
        </w:rPr>
        <w:t>- высокий уровень потерь при производстве и транспортировке до потребителей коммунальных ресурсов</w:t>
      </w:r>
    </w:p>
    <w:p w:rsidR="000955A9" w:rsidRPr="00EA4D59" w:rsidRDefault="000955A9" w:rsidP="00986BEE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B2C1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данным территориального </w:t>
      </w:r>
      <w:r w:rsidRPr="00EA4D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органа федеральной службы государственной статистики по Камчатскому краю, в 201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  <w:r w:rsidRPr="00EA4D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году общая площадь ветхого (непригодного для проживания) и аварийного фонда </w:t>
      </w:r>
      <w:proofErr w:type="gramStart"/>
      <w:r w:rsidRPr="00EA4D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 w:rsidRPr="00EA4D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городском округе </w:t>
      </w:r>
      <w:r w:rsidRPr="000B73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составила 128,5 тыс</w:t>
      </w:r>
      <w:r w:rsidRPr="00EA4D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кв. метров, что </w:t>
      </w:r>
      <w:r w:rsidRPr="000B73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составляет 2,87 %</w:t>
      </w:r>
      <w:r w:rsidRPr="00EA4D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 общей площади жилых помещений.</w:t>
      </w:r>
    </w:p>
    <w:p w:rsidR="000955A9" w:rsidRPr="00590CA1" w:rsidRDefault="000955A9" w:rsidP="000955A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восстановления эксплуатационных и технических характеристик  жилищного фонда в городском округе с 01.06.2014 действует Региональная программа капитального ремонта общего имущества в многоквартирных домах в Камчатском крае на 2014-2043 годы</w:t>
      </w:r>
      <w:r w:rsid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Региональная программа), утвержденная постановлением Правительства Камчатского края от 12.02.2014 № 74-П. </w:t>
      </w:r>
    </w:p>
    <w:p w:rsidR="00986BEE" w:rsidRPr="00986BEE" w:rsidRDefault="00986BEE" w:rsidP="00986BEE">
      <w:pPr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86BEE">
        <w:rPr>
          <w:rFonts w:ascii="Times New Roman" w:hAnsi="Times New Roman" w:cs="Times New Roman"/>
          <w:sz w:val="28"/>
          <w:szCs w:val="28"/>
          <w:lang w:eastAsia="ru-RU"/>
        </w:rPr>
        <w:t xml:space="preserve">Конкретизация сроков проведения капитального ремонта общего имущества в многоквартирных домах, уточнение планируемых видов услуг и работ по капитальному ремонту общего имущества в многоквартирных домах осуществляется на основании краткосрочных планов реализации программы, разрабатываемых администрацией городского округа ежегодно на текущий год: </w:t>
      </w:r>
      <w:proofErr w:type="gramEnd"/>
    </w:p>
    <w:p w:rsidR="00986BEE" w:rsidRPr="00986BEE" w:rsidRDefault="00986BEE" w:rsidP="00986BEE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EE">
        <w:rPr>
          <w:rFonts w:ascii="Times New Roman" w:eastAsia="Calibri" w:hAnsi="Times New Roman" w:cs="Times New Roman"/>
          <w:sz w:val="28"/>
          <w:szCs w:val="28"/>
        </w:rPr>
        <w:t>планом на 2015 год предусмотрены</w:t>
      </w:r>
      <w:r w:rsidRPr="00986B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по капитальному ремонту 203 объектов общего имущества (далее - ООИ) в 92 МКД, в том числе:</w:t>
      </w:r>
    </w:p>
    <w:p w:rsidR="00986BEE" w:rsidRPr="00986BEE" w:rsidRDefault="00986BEE" w:rsidP="00986BEE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130 ООИ в 66 МКД - работы на общую сумму 197,7 </w:t>
      </w:r>
      <w:proofErr w:type="gramStart"/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завершены и приняты Фондом по плану в 2015 году;</w:t>
      </w:r>
    </w:p>
    <w:p w:rsidR="00986BEE" w:rsidRPr="00986BEE" w:rsidRDefault="00986BEE" w:rsidP="00986BEE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73 ООИ в 46 МКД - работы на общую сумму 138,34 </w:t>
      </w:r>
      <w:proofErr w:type="gramStart"/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начаты в 2015 году и будут завершены в 2016 году;</w:t>
      </w:r>
    </w:p>
    <w:p w:rsidR="00986BEE" w:rsidRPr="00986BEE" w:rsidRDefault="00986BEE" w:rsidP="00986BEE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течение 2015 года были выполнены и приняты Фондом работы по капитальному ремонту, начатые в 2014 году по 24 ООИ в 21 МКД, на общую сумму 63,3</w:t>
      </w:r>
      <w:proofErr w:type="gramStart"/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86BEE" w:rsidRPr="00986BEE" w:rsidRDefault="00986BEE" w:rsidP="00986BEE">
      <w:pPr>
        <w:spacing w:after="0"/>
        <w:ind w:left="-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планом на 2016 год </w:t>
      </w:r>
      <w:r w:rsidRPr="00986BEE">
        <w:rPr>
          <w:rFonts w:ascii="Times New Roman" w:eastAsia="Calibri" w:hAnsi="Times New Roman" w:cs="Times New Roman"/>
          <w:sz w:val="28"/>
          <w:szCs w:val="28"/>
        </w:rPr>
        <w:t xml:space="preserve">предусмотрен 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общего имущество в 184 многоквартирных домах с общей площадью 715,5 тыс. кв. метров. Более 30 тыс. человек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улучшат свои жилищные условия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Капитальному ремонту подлежат 89 крыш, 47 фасадов, 22 инженерных системы.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Планируемые затраты на проведение капитального ремонта составляют более 805 млн. рублей. </w:t>
      </w:r>
    </w:p>
    <w:p w:rsidR="00986BEE" w:rsidRPr="00986BEE" w:rsidRDefault="00986BEE" w:rsidP="00986B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планом на 2017 год предусмотрен ремонт общего имущество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в 27 многоквартирных домах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общей площадью 118,5 тыс. кв. метров, в 2018 году планируется ремонт общего имущество в 28 многоквартирных домах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общей площадью 101,3 тыс. кв. метров, в 2019 году – в 48 многоквартирных домах площадью 175,4 тыс. кв. метров.</w:t>
      </w:r>
      <w:proofErr w:type="gramEnd"/>
    </w:p>
    <w:p w:rsidR="00986BEE" w:rsidRPr="00986BEE" w:rsidRDefault="00986BEE" w:rsidP="00986B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Планируемая стоимость капитального ремонта составит 534,1</w:t>
      </w:r>
      <w:proofErr w:type="gramStart"/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540,7 млн рублей, 640,5 млн рублей соответственно по годам. Предполагается ремонт внутридомовых инженерных систем:</w:t>
      </w:r>
      <w:r w:rsidRPr="00986BEE">
        <w:rPr>
          <w:rFonts w:ascii="Times New Roman" w:hAnsi="Times New Roman" w:cs="Times New Roman"/>
          <w:sz w:val="28"/>
          <w:szCs w:val="28"/>
        </w:rPr>
        <w:t xml:space="preserve"> отопления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86BEE">
        <w:rPr>
          <w:rFonts w:ascii="Times New Roman" w:hAnsi="Times New Roman" w:cs="Times New Roman"/>
          <w:sz w:val="28"/>
          <w:szCs w:val="28"/>
        </w:rPr>
        <w:t>ХВС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ГВС,</w:t>
      </w:r>
      <w:r w:rsidRPr="00986BEE">
        <w:rPr>
          <w:rFonts w:ascii="Times New Roman" w:hAnsi="Times New Roman" w:cs="Times New Roman"/>
          <w:sz w:val="28"/>
          <w:szCs w:val="28"/>
        </w:rPr>
        <w:t xml:space="preserve"> водоотведения, электроснабжения, а также 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крыш, фасадов, 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фундаментов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6BE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многоквартирных домов. Улучшат свои жилищные условия 18,4 человек.</w:t>
      </w:r>
    </w:p>
    <w:p w:rsidR="00986BEE" w:rsidRDefault="00986BEE" w:rsidP="000955A9">
      <w:pPr>
        <w:tabs>
          <w:tab w:val="left" w:pos="4111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955A9" w:rsidRPr="004A37FF" w:rsidRDefault="000955A9" w:rsidP="000955A9">
      <w:pPr>
        <w:tabs>
          <w:tab w:val="left" w:pos="4111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A37FF">
        <w:rPr>
          <w:rFonts w:ascii="Times New Roman" w:eastAsia="Calibri" w:hAnsi="Times New Roman" w:cs="Times New Roman"/>
          <w:sz w:val="28"/>
          <w:szCs w:val="28"/>
        </w:rPr>
        <w:t>Для возможности поэтапного решения проблемы ликвидации аварийного и непригодного жилищного фонда, с учетом возможностей бюджетного финансирования всех уровней, реализуется муниципальная программа «Обеспечение доступным и комфортным жильем жителей</w:t>
      </w:r>
      <w:r w:rsidR="00A63A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A37FF">
        <w:rPr>
          <w:rFonts w:ascii="Times New Roman" w:eastAsia="Calibri" w:hAnsi="Times New Roman" w:cs="Times New Roman"/>
          <w:sz w:val="28"/>
          <w:szCs w:val="28"/>
        </w:rPr>
        <w:t>Петропавловск-Камчатского</w:t>
      </w:r>
      <w:proofErr w:type="gramEnd"/>
      <w:r w:rsidRPr="004A37FF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округа».</w:t>
      </w:r>
    </w:p>
    <w:p w:rsidR="000955A9" w:rsidRPr="004A37FF" w:rsidRDefault="000955A9" w:rsidP="000955A9">
      <w:pPr>
        <w:tabs>
          <w:tab w:val="left" w:pos="4111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A37FF">
        <w:rPr>
          <w:rFonts w:ascii="Times New Roman" w:eastAsia="Calibri" w:hAnsi="Times New Roman" w:cs="Times New Roman"/>
          <w:sz w:val="28"/>
          <w:szCs w:val="28"/>
        </w:rPr>
        <w:t>Общая площадь непригодных для проживания жилых помещений, планируемых к сносу в рамках выполнения муниципальной программы, составит 25,3 тыс. кв. метров.</w:t>
      </w:r>
    </w:p>
    <w:p w:rsidR="000955A9" w:rsidRDefault="000955A9" w:rsidP="000955A9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53BEB">
        <w:rPr>
          <w:rFonts w:ascii="Times New Roman" w:eastAsia="Calibri" w:hAnsi="Times New Roman" w:cs="Times New Roman"/>
          <w:sz w:val="28"/>
          <w:szCs w:val="28"/>
        </w:rPr>
        <w:t>Количество аварийных и непригодных для проживания жилых помещений, подлежащих расселению в ходе реализации мероприятий муниципальной программы, составит всего 279</w:t>
      </w:r>
      <w:r>
        <w:rPr>
          <w:rFonts w:ascii="Times New Roman" w:eastAsia="Calibri" w:hAnsi="Times New Roman" w:cs="Times New Roman"/>
          <w:sz w:val="28"/>
          <w:szCs w:val="28"/>
        </w:rPr>
        <w:t xml:space="preserve"> ед.</w:t>
      </w:r>
    </w:p>
    <w:p w:rsidR="000955A9" w:rsidRPr="00914D98" w:rsidRDefault="000955A9" w:rsidP="000955A9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14D98">
        <w:rPr>
          <w:rFonts w:ascii="Times New Roman" w:eastAsia="Calibri" w:hAnsi="Times New Roman" w:cs="Times New Roman"/>
          <w:sz w:val="28"/>
          <w:szCs w:val="28"/>
        </w:rPr>
        <w:t>Работа по обеспечению переселения граждан из аварийного жилья будет продолжена и в прогнозном периоде в рамках муниципальной программы «Обеспечение доступным и комфортным жильем жителей Петропавловск-Камчатского городского округа», также будут реализованы мероприятия, направленные на решение задач, связанных с ликвидацией аварийного жилищного фонда, включая оказание поддержки в обеспечении жильем молодых семей.</w:t>
      </w:r>
      <w:proofErr w:type="gramEnd"/>
    </w:p>
    <w:p w:rsidR="000955A9" w:rsidRPr="00914D98" w:rsidRDefault="000955A9" w:rsidP="000955A9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14D98">
        <w:rPr>
          <w:rFonts w:ascii="Times New Roman" w:eastAsia="Calibri" w:hAnsi="Times New Roman" w:cs="Times New Roman"/>
          <w:sz w:val="28"/>
          <w:szCs w:val="28"/>
        </w:rPr>
        <w:t>Продолжится реализация мероприятий, предусмотренных действующими краевыми и муниципальными программами.</w:t>
      </w:r>
    </w:p>
    <w:p w:rsidR="000955A9" w:rsidRPr="00914D98" w:rsidRDefault="000955A9" w:rsidP="000955A9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14D98">
        <w:rPr>
          <w:rFonts w:ascii="Times New Roman" w:eastAsia="Calibri" w:hAnsi="Times New Roman" w:cs="Times New Roman"/>
          <w:sz w:val="28"/>
          <w:szCs w:val="28"/>
        </w:rPr>
        <w:t xml:space="preserve">В результате реализации мероприятий вышеуказанных подпрограмм, при условии финансирования,  планируется, что к концу 2018 года 895 семей, проживающих в аварийном и непригодном жилищном фонде городского округа, будут переселены в благоустроенное жилье. </w:t>
      </w:r>
    </w:p>
    <w:p w:rsidR="000955A9" w:rsidRPr="00552CD6" w:rsidRDefault="000955A9" w:rsidP="000955A9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2C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Сложившуюся проблему ликвидации аварийного жилищного фонда эффективно планируется решить путем строительства нового жилья, в том числе экономического класса. </w:t>
      </w:r>
    </w:p>
    <w:p w:rsidR="000955A9" w:rsidRDefault="000955A9" w:rsidP="000955A9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52CD6">
        <w:rPr>
          <w:rFonts w:ascii="Times New Roman" w:eastAsia="Calibri" w:hAnsi="Times New Roman" w:cs="Times New Roman"/>
          <w:sz w:val="28"/>
          <w:szCs w:val="28"/>
          <w:lang w:eastAsia="ru-RU"/>
        </w:rPr>
        <w:t>Для ликвидации существующего на данный момент аварийного жилищного фонда, признанного таковым в установленном законодательством порядке, и переселения граждан в благоустроенные жилые помещения, соответствующие установленным санитарным и техническим правилам и нормам, необходимо ввести в строй 10 жилых 90-квартирных домов.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52CD6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стимулирования развития жилищного строительства администрацией городского округа осуществляются мероприятия по разработке проектов планировки застроенных и новых территорий городского округа, по обеспечению застраиваемых земельных участков коммунальной инфраструктурой.</w:t>
      </w:r>
      <w:proofErr w:type="gramEnd"/>
    </w:p>
    <w:p w:rsidR="000955A9" w:rsidRPr="00215F33" w:rsidRDefault="000955A9" w:rsidP="000955A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Петропавловск-Камчатский городской округ - это территория с конкурентной средой в сфере управления и эксплуатации жилищным фондом. </w:t>
      </w:r>
    </w:p>
    <w:p w:rsidR="000955A9" w:rsidRPr="00215F33" w:rsidRDefault="000955A9" w:rsidP="000955A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F33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Рынок лицензированных управляющих организаций, оказывающих услуги по управлению многоквартирными домами, а также выполняющих работы и оказывающих услуги по содержанию и ремонту общего имущества в многоквартирных домах ежегодно пополняется новыми участниками.</w:t>
      </w:r>
    </w:p>
    <w:p w:rsidR="000955A9" w:rsidRPr="000A1AEC" w:rsidRDefault="000955A9" w:rsidP="000955A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1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gramStart"/>
      <w:r w:rsidRPr="000A1AE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Петропавловск-Камчатского</w:t>
      </w:r>
      <w:proofErr w:type="gramEnd"/>
      <w:r w:rsidRPr="000A1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создано:</w:t>
      </w:r>
    </w:p>
    <w:p w:rsidR="000955A9" w:rsidRPr="000A1AEC" w:rsidRDefault="000955A9" w:rsidP="000955A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A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- 62 организации, уставной деятельностью которых является предпринимательская деятельность по управлению многоквартирными домами;</w:t>
      </w:r>
    </w:p>
    <w:p w:rsidR="000955A9" w:rsidRPr="000A1AEC" w:rsidRDefault="000955A9" w:rsidP="000955A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AEC">
        <w:rPr>
          <w:rFonts w:ascii="Times New Roman" w:eastAsia="Times New Roman" w:hAnsi="Times New Roman" w:cs="Times New Roman"/>
          <w:sz w:val="28"/>
          <w:szCs w:val="28"/>
          <w:lang w:eastAsia="ru-RU"/>
        </w:rPr>
        <w:t>- 101 товарищество собственников жилья, уставной деятельностью которых является хозяйственная деятельность по управлению многоквартирными домами;</w:t>
      </w:r>
    </w:p>
    <w:p w:rsidR="000955A9" w:rsidRPr="000A1AEC" w:rsidRDefault="000955A9" w:rsidP="000955A9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AEC">
        <w:rPr>
          <w:rFonts w:ascii="Times New Roman" w:eastAsia="Times New Roman" w:hAnsi="Times New Roman" w:cs="Times New Roman"/>
          <w:sz w:val="28"/>
          <w:szCs w:val="28"/>
          <w:lang w:eastAsia="ru-RU"/>
        </w:rPr>
        <w:t>- 7 жилищно-строительных кооперативов, уставной деятельностью которых является удовлетворение потребностей граждан в жилье, а также управление многоквартирными домами.</w:t>
      </w:r>
    </w:p>
    <w:p w:rsidR="000955A9" w:rsidRPr="000A1AEC" w:rsidRDefault="000955A9" w:rsidP="000A1AEC">
      <w:pPr>
        <w:spacing w:before="120" w:after="0"/>
        <w:rPr>
          <w:rFonts w:ascii="Times New Roman" w:eastAsia="Calibri" w:hAnsi="Times New Roman" w:cs="Times New Roman"/>
          <w:sz w:val="28"/>
          <w:szCs w:val="28"/>
        </w:rPr>
      </w:pPr>
      <w:r w:rsidRPr="000A1AEC">
        <w:rPr>
          <w:rFonts w:ascii="Times New Roman" w:eastAsia="Calibri" w:hAnsi="Times New Roman" w:cs="Times New Roman"/>
          <w:sz w:val="28"/>
          <w:szCs w:val="28"/>
        </w:rPr>
        <w:t xml:space="preserve">Основные направления политики администрации </w:t>
      </w:r>
      <w:proofErr w:type="gramStart"/>
      <w:r w:rsidRPr="000A1AEC">
        <w:rPr>
          <w:rFonts w:ascii="Times New Roman" w:eastAsia="Calibri" w:hAnsi="Times New Roman" w:cs="Times New Roman"/>
          <w:sz w:val="28"/>
          <w:szCs w:val="28"/>
        </w:rPr>
        <w:t>Петропавловск-Камчатского</w:t>
      </w:r>
      <w:proofErr w:type="gramEnd"/>
      <w:r w:rsidRPr="000A1AEC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  <w:r w:rsidRPr="000A1AEC">
        <w:rPr>
          <w:rFonts w:ascii="Times New Roman" w:eastAsia="Calibri" w:hAnsi="Times New Roman" w:cs="Times New Roman"/>
          <w:i/>
          <w:sz w:val="28"/>
          <w:szCs w:val="28"/>
        </w:rPr>
        <w:t xml:space="preserve"> в сфере развития коммунального хозяйства</w:t>
      </w:r>
      <w:r w:rsidRPr="000A1AEC">
        <w:rPr>
          <w:rFonts w:ascii="Times New Roman" w:eastAsia="Calibri" w:hAnsi="Times New Roman" w:cs="Times New Roman"/>
          <w:sz w:val="28"/>
          <w:szCs w:val="28"/>
        </w:rPr>
        <w:t xml:space="preserve"> обусловлены необходимостью надежной и качественной работы систем коммунальной инфраструктуры, а также привлечения инвестиций в данную сферу. </w:t>
      </w:r>
    </w:p>
    <w:p w:rsidR="000955A9" w:rsidRPr="00ED2A75" w:rsidRDefault="000955A9" w:rsidP="000955A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D2A75">
        <w:rPr>
          <w:rFonts w:ascii="Times New Roman" w:eastAsia="Calibri" w:hAnsi="Times New Roman" w:cs="Times New Roman"/>
          <w:sz w:val="28"/>
          <w:szCs w:val="28"/>
        </w:rPr>
        <w:t xml:space="preserve">Привлечение инвестиций в отрасль жилищно-коммунального хозяйства возможно путем создания благоприятного инвестиционного климата и применения механизмов </w:t>
      </w:r>
      <w:proofErr w:type="spellStart"/>
      <w:r w:rsidRPr="00ED2A75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proofErr w:type="spellEnd"/>
      <w:r w:rsidRPr="00ED2A75">
        <w:rPr>
          <w:rFonts w:ascii="Times New Roman" w:eastAsia="Calibri" w:hAnsi="Times New Roman" w:cs="Times New Roman"/>
          <w:sz w:val="28"/>
          <w:szCs w:val="28"/>
        </w:rPr>
        <w:t>-частного партнерства.</w:t>
      </w:r>
    </w:p>
    <w:p w:rsidR="00D62194" w:rsidRDefault="000955A9" w:rsidP="000955A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2A75">
        <w:rPr>
          <w:rFonts w:ascii="Times New Roman" w:eastAsia="Calibri" w:hAnsi="Times New Roman" w:cs="Times New Roman"/>
          <w:sz w:val="28"/>
          <w:szCs w:val="28"/>
        </w:rPr>
        <w:t>Развитие такого партнерства рассматривается администрацией Петропавловск-Камчатского городского округа в направлении совершенствования управления объектами инженерной инфраструктуры посредством внедрения механизма концессии в сферу жилищно-коммунального хозяйства.</w:t>
      </w:r>
      <w:proofErr w:type="gramEnd"/>
    </w:p>
    <w:p w:rsidR="000955A9" w:rsidRPr="008F4941" w:rsidRDefault="000955A9" w:rsidP="000955A9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90CA1">
        <w:rPr>
          <w:rFonts w:ascii="Times New Roman" w:eastAsia="Calibri" w:hAnsi="Times New Roman" w:cs="Times New Roman"/>
          <w:sz w:val="28"/>
          <w:szCs w:val="28"/>
        </w:rPr>
        <w:t>В 2017-2019годах</w:t>
      </w:r>
      <w:r w:rsidRPr="00B21115">
        <w:rPr>
          <w:rFonts w:ascii="Times New Roman" w:eastAsia="Calibri" w:hAnsi="Times New Roman" w:cs="Times New Roman"/>
          <w:sz w:val="28"/>
          <w:szCs w:val="28"/>
        </w:rPr>
        <w:t xml:space="preserve"> основные направления деятельности администрации </w:t>
      </w:r>
      <w:proofErr w:type="gramStart"/>
      <w:r w:rsidRPr="00B21115">
        <w:rPr>
          <w:rFonts w:ascii="Times New Roman" w:eastAsia="Calibri" w:hAnsi="Times New Roman" w:cs="Times New Roman"/>
          <w:sz w:val="28"/>
          <w:szCs w:val="28"/>
        </w:rPr>
        <w:t>Петропавловск-Камчатского</w:t>
      </w:r>
      <w:proofErr w:type="gramEnd"/>
      <w:r w:rsidRPr="00B21115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в коммунальной сфере  сформированы в муниципальной программе «Энергоэффективность, развитие энергетики и коммунального хозяйства, обеспечение жителей</w:t>
      </w:r>
      <w:r w:rsidRPr="00D228BE">
        <w:rPr>
          <w:rFonts w:ascii="Times New Roman" w:eastAsia="Calibri" w:hAnsi="Times New Roman" w:cs="Times New Roman"/>
          <w:sz w:val="28"/>
          <w:szCs w:val="28"/>
        </w:rPr>
        <w:t xml:space="preserve"> Петропавловск-Камчатского городского округа коммунальными услугами, услугами по благоустройству территории и охрана окружающей среды» (</w:t>
      </w:r>
      <w:r w:rsidRPr="008F4941">
        <w:rPr>
          <w:rFonts w:ascii="Times New Roman" w:eastAsia="Calibri" w:hAnsi="Times New Roman" w:cs="Times New Roman"/>
          <w:sz w:val="28"/>
          <w:szCs w:val="28"/>
        </w:rPr>
        <w:t>подпрограмма «Модернизация жилищно-коммунального хозяйства).</w:t>
      </w:r>
    </w:p>
    <w:p w:rsidR="000955A9" w:rsidRPr="00D228BE" w:rsidRDefault="000955A9" w:rsidP="000955A9">
      <w:pPr>
        <w:autoSpaceDE w:val="0"/>
        <w:autoSpaceDN w:val="0"/>
        <w:adjustRightInd w:val="0"/>
        <w:spacing w:after="0" w:line="232" w:lineRule="auto"/>
        <w:rPr>
          <w:rFonts w:ascii="Times New Roman" w:eastAsia="Calibri" w:hAnsi="Times New Roman" w:cs="Times New Roman"/>
          <w:sz w:val="28"/>
          <w:szCs w:val="28"/>
        </w:rPr>
      </w:pPr>
      <w:r w:rsidRPr="008F4941">
        <w:rPr>
          <w:rFonts w:ascii="Times New Roman" w:eastAsia="Calibri" w:hAnsi="Times New Roman" w:cs="Times New Roman"/>
          <w:sz w:val="28"/>
          <w:szCs w:val="28"/>
        </w:rPr>
        <w:t>В рамках подпрограммы  в среднесрочном периоде в целях повышения качества и надежности предоставления жилищно-коммунальных услуг населению городского округа предстоит решить следующие задачи:</w:t>
      </w:r>
    </w:p>
    <w:p w:rsidR="000955A9" w:rsidRPr="00D228BE" w:rsidRDefault="000955A9" w:rsidP="000955A9">
      <w:pPr>
        <w:autoSpaceDE w:val="0"/>
        <w:autoSpaceDN w:val="0"/>
        <w:adjustRightInd w:val="0"/>
        <w:spacing w:after="0" w:line="232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228BE">
        <w:rPr>
          <w:rFonts w:ascii="Times New Roman" w:eastAsia="Calibri" w:hAnsi="Times New Roman" w:cs="Times New Roman"/>
          <w:sz w:val="28"/>
          <w:szCs w:val="28"/>
        </w:rPr>
        <w:t>- модернизация объектов теплоснабжения и электроснабжения в городском округе с целью снижения уровня износа и повышения эффективности работы инженерных коммуникаций путем реконструкции тепловых сетей в рамках перевода на централизованное горячее водоснабжение; капитального и текущего ремонта объектов тепло и электроснабжения, а именно замена ветхих инженерных сетей тепло и электроснабжения;</w:t>
      </w:r>
      <w:proofErr w:type="gramEnd"/>
    </w:p>
    <w:p w:rsidR="006E2614" w:rsidRPr="00B05E10" w:rsidRDefault="00590CA1" w:rsidP="00A63AFB">
      <w:pPr>
        <w:pStyle w:val="1"/>
      </w:pPr>
      <w:bookmarkStart w:id="90" w:name="_Toc430947280"/>
      <w:bookmarkStart w:id="91" w:name="_Toc400529688"/>
      <w:bookmarkStart w:id="92" w:name="_Toc368988921"/>
      <w:bookmarkStart w:id="93" w:name="_Toc465927705"/>
      <w:r>
        <w:t>21.</w:t>
      </w:r>
      <w:r w:rsidR="006E2614" w:rsidRPr="00B05E10">
        <w:t xml:space="preserve"> Благоустройство</w:t>
      </w:r>
      <w:bookmarkEnd w:id="90"/>
      <w:bookmarkEnd w:id="91"/>
      <w:bookmarkEnd w:id="92"/>
      <w:bookmarkEnd w:id="93"/>
    </w:p>
    <w:p w:rsidR="006E2614" w:rsidRPr="00B05E10" w:rsidRDefault="006E2614" w:rsidP="006E261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05E10">
        <w:rPr>
          <w:rFonts w:ascii="Times New Roman" w:eastAsia="Calibri" w:hAnsi="Times New Roman" w:cs="Times New Roman"/>
          <w:sz w:val="28"/>
          <w:szCs w:val="28"/>
        </w:rPr>
        <w:t xml:space="preserve">Деятельность администрации городского округа в сфере благоустройства территории городского округа направлена на осуществление ремонта и содержание городских объектов благоустройства, в целях улучшения внешнего облика городского округа, модернизации объектов благоустройства, улучшения их эксплуатационного состояния. </w:t>
      </w:r>
      <w:proofErr w:type="gramEnd"/>
    </w:p>
    <w:p w:rsidR="006E2614" w:rsidRPr="00B05E10" w:rsidRDefault="006E2614" w:rsidP="006E261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05E10">
        <w:rPr>
          <w:rFonts w:ascii="Times New Roman" w:eastAsia="Calibri" w:hAnsi="Times New Roman" w:cs="Times New Roman"/>
          <w:sz w:val="28"/>
          <w:szCs w:val="28"/>
        </w:rPr>
        <w:t xml:space="preserve">Для реализации данной деятельности реализуются мероприятия подпрограммы «Комплексное благоустройство </w:t>
      </w:r>
      <w:proofErr w:type="gramStart"/>
      <w:r w:rsidRPr="00B05E10">
        <w:rPr>
          <w:rFonts w:ascii="Times New Roman" w:eastAsia="Calibri" w:hAnsi="Times New Roman" w:cs="Times New Roman"/>
          <w:sz w:val="28"/>
          <w:szCs w:val="28"/>
        </w:rPr>
        <w:t>Петропавловск-Камчатского</w:t>
      </w:r>
      <w:proofErr w:type="gramEnd"/>
      <w:r w:rsidRPr="00B05E10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округа» муниципальной программы «Энергоэффективность, развитие энергетики и коммунального хозяйства, обеспечение жителей </w:t>
      </w:r>
      <w:r w:rsidRPr="00B05E10">
        <w:rPr>
          <w:rFonts w:ascii="Times New Roman" w:eastAsia="Calibri" w:hAnsi="Times New Roman" w:cs="Times New Roman"/>
          <w:sz w:val="28"/>
          <w:szCs w:val="28"/>
        </w:rPr>
        <w:lastRenderedPageBreak/>
        <w:t>Петропавловск-Камчатского городского округа коммунальными услугами, услугами по благоустройству территории и охрана окружающей среды».</w:t>
      </w:r>
    </w:p>
    <w:p w:rsidR="006E2614" w:rsidRPr="00B05E10" w:rsidRDefault="006E2614" w:rsidP="006E261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05E10">
        <w:rPr>
          <w:rFonts w:ascii="Times New Roman" w:eastAsia="Calibri" w:hAnsi="Times New Roman" w:cs="Times New Roman"/>
          <w:sz w:val="28"/>
          <w:szCs w:val="28"/>
        </w:rPr>
        <w:t xml:space="preserve">В рамках </w:t>
      </w:r>
      <w:r w:rsidRPr="00590CA1">
        <w:rPr>
          <w:rFonts w:ascii="Times New Roman" w:eastAsia="Calibri" w:hAnsi="Times New Roman" w:cs="Times New Roman"/>
          <w:sz w:val="28"/>
          <w:szCs w:val="28"/>
        </w:rPr>
        <w:t>программы в 2015 году реализованы</w:t>
      </w:r>
      <w:r w:rsidRPr="00B05E10">
        <w:rPr>
          <w:rFonts w:ascii="Times New Roman" w:eastAsia="Calibri" w:hAnsi="Times New Roman" w:cs="Times New Roman"/>
          <w:sz w:val="28"/>
          <w:szCs w:val="28"/>
        </w:rPr>
        <w:t xml:space="preserve"> мероприятия по следующим направлениям:</w:t>
      </w:r>
    </w:p>
    <w:p w:rsidR="006E2614" w:rsidRDefault="006E2614" w:rsidP="006E2614">
      <w:pPr>
        <w:spacing w:after="0"/>
        <w:rPr>
          <w:rFonts w:ascii="Times New Roman" w:hAnsi="Times New Roman"/>
          <w:sz w:val="28"/>
          <w:szCs w:val="28"/>
        </w:rPr>
      </w:pPr>
      <w:r w:rsidRPr="006E2614"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проведены</w:t>
      </w:r>
      <w:r w:rsidRPr="005753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работы по </w:t>
      </w:r>
      <w:r w:rsidRPr="005753AD">
        <w:rPr>
          <w:rFonts w:ascii="Times New Roman" w:eastAsia="Calibri" w:hAnsi="Times New Roman" w:cs="Times New Roman"/>
          <w:sz w:val="28"/>
          <w:szCs w:val="28"/>
        </w:rPr>
        <w:t xml:space="preserve">капитальному ремонту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753AD">
        <w:rPr>
          <w:rFonts w:ascii="Times New Roman" w:eastAsia="Calibri" w:hAnsi="Times New Roman" w:cs="Times New Roman"/>
          <w:sz w:val="28"/>
          <w:szCs w:val="28"/>
        </w:rPr>
        <w:t xml:space="preserve"> подпорных стен</w:t>
      </w:r>
      <w:r w:rsidRPr="005753AD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6</w:t>
      </w:r>
      <w:r w:rsidRPr="005753AD">
        <w:rPr>
          <w:rFonts w:ascii="Times New Roman" w:hAnsi="Times New Roman"/>
          <w:sz w:val="28"/>
          <w:szCs w:val="28"/>
        </w:rPr>
        <w:t xml:space="preserve"> лестничных переходов, </w:t>
      </w:r>
    </w:p>
    <w:p w:rsidR="006E2614" w:rsidRPr="006E2614" w:rsidRDefault="006E2614" w:rsidP="006E2614">
      <w:pPr>
        <w:spacing w:after="0"/>
        <w:rPr>
          <w:rFonts w:ascii="Times New Roman" w:hAnsi="Times New Roman"/>
          <w:sz w:val="28"/>
          <w:szCs w:val="28"/>
        </w:rPr>
      </w:pPr>
      <w:r w:rsidRPr="006E2614">
        <w:rPr>
          <w:rFonts w:ascii="Times New Roman" w:hAnsi="Times New Roman"/>
          <w:sz w:val="28"/>
          <w:szCs w:val="28"/>
        </w:rPr>
        <w:t>- осуществлена замена ограждения (ул. Океанская, 94а)</w:t>
      </w:r>
      <w:r w:rsidRPr="006E261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6E2614">
        <w:rPr>
          <w:rFonts w:ascii="Times New Roman" w:hAnsi="Times New Roman"/>
          <w:sz w:val="28"/>
          <w:szCs w:val="28"/>
        </w:rPr>
        <w:t xml:space="preserve"> </w:t>
      </w:r>
    </w:p>
    <w:p w:rsidR="006E2614" w:rsidRDefault="006E2614" w:rsidP="006E2614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5753AD">
        <w:rPr>
          <w:rFonts w:ascii="Times New Roman" w:hAnsi="Times New Roman"/>
          <w:sz w:val="28"/>
          <w:szCs w:val="28"/>
        </w:rPr>
        <w:t>на 12 детских площадках проведены работы по восстановлению и обустройству</w:t>
      </w:r>
      <w:r>
        <w:rPr>
          <w:rFonts w:ascii="Times New Roman" w:hAnsi="Times New Roman"/>
          <w:sz w:val="28"/>
          <w:szCs w:val="28"/>
        </w:rPr>
        <w:t xml:space="preserve"> (</w:t>
      </w:r>
      <w:r w:rsidRPr="005753AD">
        <w:rPr>
          <w:rFonts w:ascii="Times New Roman" w:hAnsi="Times New Roman"/>
          <w:sz w:val="28"/>
          <w:szCs w:val="28"/>
        </w:rPr>
        <w:t>демонтаж аварийных конструкций, установка комплексов для занятия спортом, установка малых архитектурных форм, благоустройство площадок, восстановление ограждений</w:t>
      </w:r>
      <w:r>
        <w:rPr>
          <w:rFonts w:ascii="Times New Roman" w:hAnsi="Times New Roman"/>
          <w:sz w:val="28"/>
          <w:szCs w:val="28"/>
        </w:rPr>
        <w:t>)</w:t>
      </w:r>
      <w:r w:rsidRPr="005753AD">
        <w:rPr>
          <w:rFonts w:ascii="Times New Roman" w:hAnsi="Times New Roman"/>
          <w:sz w:val="28"/>
          <w:szCs w:val="28"/>
        </w:rPr>
        <w:t>;</w:t>
      </w:r>
      <w:proofErr w:type="gramEnd"/>
    </w:p>
    <w:p w:rsidR="006E2614" w:rsidRDefault="006E2614" w:rsidP="006E261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осуществлялись</w:t>
      </w:r>
      <w:r w:rsidRPr="005753AD">
        <w:rPr>
          <w:rFonts w:ascii="Times New Roman" w:hAnsi="Times New Roman"/>
          <w:sz w:val="28"/>
          <w:szCs w:val="28"/>
        </w:rPr>
        <w:t xml:space="preserve"> работы по текущему ремонту и содержанию подпорных стен, лестничных переходов, детских площадок</w:t>
      </w:r>
      <w:r>
        <w:rPr>
          <w:rFonts w:ascii="Times New Roman" w:hAnsi="Times New Roman"/>
          <w:sz w:val="28"/>
          <w:szCs w:val="28"/>
        </w:rPr>
        <w:t>;</w:t>
      </w:r>
    </w:p>
    <w:p w:rsidR="006E2614" w:rsidRDefault="006E2614" w:rsidP="006E261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753AD">
        <w:rPr>
          <w:rFonts w:ascii="Times New Roman" w:hAnsi="Times New Roman"/>
          <w:sz w:val="28"/>
          <w:szCs w:val="28"/>
        </w:rPr>
        <w:t xml:space="preserve">завершены проектные работы на </w:t>
      </w:r>
      <w:r w:rsidRPr="009470DA">
        <w:rPr>
          <w:rFonts w:ascii="Times New Roman" w:hAnsi="Times New Roman"/>
          <w:sz w:val="28"/>
          <w:szCs w:val="28"/>
        </w:rPr>
        <w:t>«Благоустройство жилого района «Мишенный» (2-ой и 3-ий участок)</w:t>
      </w:r>
      <w:r w:rsidRPr="009470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E2614" w:rsidRPr="005753AD" w:rsidRDefault="006E2614" w:rsidP="006E261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проводи</w:t>
      </w:r>
      <w:r w:rsidRPr="005753AD">
        <w:rPr>
          <w:rFonts w:ascii="Times New Roman" w:eastAsia="Calibri" w:hAnsi="Times New Roman" w:cs="Times New Roman"/>
          <w:sz w:val="28"/>
          <w:szCs w:val="28"/>
        </w:rPr>
        <w:t>лись работы 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53AD">
        <w:rPr>
          <w:rFonts w:ascii="Times New Roman" w:eastAsia="Calibri" w:hAnsi="Times New Roman" w:cs="Times New Roman"/>
          <w:sz w:val="28"/>
          <w:szCs w:val="28"/>
        </w:rPr>
        <w:t>о</w:t>
      </w:r>
      <w:r w:rsidRPr="005753AD">
        <w:rPr>
          <w:rFonts w:ascii="Times New Roman" w:hAnsi="Times New Roman"/>
          <w:sz w:val="28"/>
          <w:szCs w:val="28"/>
        </w:rPr>
        <w:t>свобождению земельных участков от самовольно установленных объектов движимого имущества (вывезено 4 торговых павильонов и 259 металлических гаражей)</w:t>
      </w:r>
      <w:r>
        <w:rPr>
          <w:rFonts w:ascii="Times New Roman" w:hAnsi="Times New Roman"/>
          <w:sz w:val="28"/>
          <w:szCs w:val="28"/>
        </w:rPr>
        <w:t>;</w:t>
      </w:r>
    </w:p>
    <w:p w:rsidR="006E2614" w:rsidRDefault="006E2614" w:rsidP="006E2614">
      <w:pPr>
        <w:spacing w:after="0"/>
        <w:rPr>
          <w:rFonts w:ascii="Times New Roman" w:hAnsi="Times New Roman"/>
          <w:strike/>
          <w:sz w:val="28"/>
          <w:szCs w:val="28"/>
        </w:rPr>
      </w:pPr>
      <w:r w:rsidRPr="00EF1260">
        <w:rPr>
          <w:rFonts w:ascii="Times New Roman" w:eastAsia="Calibri" w:hAnsi="Times New Roman" w:cs="Times New Roman"/>
          <w:sz w:val="28"/>
          <w:szCs w:val="28"/>
        </w:rPr>
        <w:t xml:space="preserve">- озеленение и ландшафтное оформление территорий городского округа: </w:t>
      </w:r>
      <w:r w:rsidRPr="008645CC">
        <w:rPr>
          <w:rFonts w:ascii="Times New Roman" w:hAnsi="Times New Roman"/>
          <w:sz w:val="28"/>
          <w:szCs w:val="28"/>
        </w:rPr>
        <w:t>осуществлена установка 1</w:t>
      </w:r>
      <w:r>
        <w:rPr>
          <w:rFonts w:ascii="Times New Roman" w:hAnsi="Times New Roman"/>
          <w:sz w:val="28"/>
          <w:szCs w:val="28"/>
        </w:rPr>
        <w:t>97</w:t>
      </w:r>
      <w:r w:rsidRPr="008645CC">
        <w:rPr>
          <w:rFonts w:ascii="Times New Roman" w:hAnsi="Times New Roman"/>
          <w:sz w:val="28"/>
          <w:szCs w:val="28"/>
        </w:rPr>
        <w:t xml:space="preserve"> напольных вазонов</w:t>
      </w:r>
      <w:r>
        <w:rPr>
          <w:rFonts w:ascii="Times New Roman" w:hAnsi="Times New Roman"/>
          <w:sz w:val="28"/>
          <w:szCs w:val="28"/>
        </w:rPr>
        <w:t xml:space="preserve"> и 222 подвесных вазонов</w:t>
      </w:r>
      <w:r w:rsidRPr="008645CC">
        <w:rPr>
          <w:rFonts w:ascii="Times New Roman" w:hAnsi="Times New Roman"/>
          <w:sz w:val="28"/>
          <w:szCs w:val="28"/>
        </w:rPr>
        <w:t>, выполн</w:t>
      </w:r>
      <w:r>
        <w:rPr>
          <w:rFonts w:ascii="Times New Roman" w:hAnsi="Times New Roman"/>
          <w:sz w:val="28"/>
          <w:szCs w:val="28"/>
        </w:rPr>
        <w:t>ены</w:t>
      </w:r>
      <w:r w:rsidRPr="008645CC">
        <w:rPr>
          <w:rFonts w:ascii="Times New Roman" w:hAnsi="Times New Roman"/>
          <w:sz w:val="28"/>
          <w:szCs w:val="28"/>
        </w:rPr>
        <w:t xml:space="preserve"> работы по ручной побелке деревьев</w:t>
      </w:r>
      <w:r w:rsidRPr="007D313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E2614" w:rsidRPr="00DF5319" w:rsidRDefault="006E2614" w:rsidP="006E2614">
      <w:pPr>
        <w:spacing w:after="0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Pr="008645CC">
        <w:rPr>
          <w:rFonts w:ascii="Times New Roman" w:hAnsi="Times New Roman"/>
          <w:sz w:val="28"/>
          <w:szCs w:val="28"/>
        </w:rPr>
        <w:t>авершены работы по устройству входного знака в парке Победы (</w:t>
      </w:r>
      <w:proofErr w:type="spellStart"/>
      <w:r w:rsidRPr="008645CC">
        <w:rPr>
          <w:rFonts w:ascii="Times New Roman" w:hAnsi="Times New Roman"/>
          <w:sz w:val="28"/>
          <w:szCs w:val="28"/>
        </w:rPr>
        <w:t>пр</w:t>
      </w:r>
      <w:proofErr w:type="gramStart"/>
      <w:r w:rsidRPr="008645CC">
        <w:rPr>
          <w:rFonts w:ascii="Times New Roman" w:hAnsi="Times New Roman"/>
          <w:sz w:val="28"/>
          <w:szCs w:val="28"/>
        </w:rPr>
        <w:t>.Р</w:t>
      </w:r>
      <w:proofErr w:type="gramEnd"/>
      <w:r w:rsidRPr="008645CC">
        <w:rPr>
          <w:rFonts w:ascii="Times New Roman" w:hAnsi="Times New Roman"/>
          <w:sz w:val="28"/>
          <w:szCs w:val="28"/>
        </w:rPr>
        <w:t>ыбаков</w:t>
      </w:r>
      <w:proofErr w:type="spellEnd"/>
      <w:r w:rsidRPr="008645C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благоустройству «Парка победы»,</w:t>
      </w:r>
      <w:r w:rsidRPr="008645CC">
        <w:rPr>
          <w:rFonts w:ascii="Times New Roman" w:hAnsi="Times New Roman"/>
          <w:sz w:val="28"/>
          <w:szCs w:val="28"/>
        </w:rPr>
        <w:t xml:space="preserve"> ремонту тротуарной плитки в сквере Свободы</w:t>
      </w:r>
      <w:r>
        <w:rPr>
          <w:rFonts w:ascii="Times New Roman" w:hAnsi="Times New Roman"/>
          <w:sz w:val="28"/>
          <w:szCs w:val="28"/>
        </w:rPr>
        <w:t>, б</w:t>
      </w:r>
      <w:r w:rsidRPr="00445F44">
        <w:rPr>
          <w:rFonts w:ascii="Times New Roman" w:hAnsi="Times New Roman"/>
          <w:sz w:val="28"/>
          <w:szCs w:val="28"/>
        </w:rPr>
        <w:t>лагоустройств</w:t>
      </w:r>
      <w:r>
        <w:rPr>
          <w:rFonts w:ascii="Times New Roman" w:hAnsi="Times New Roman"/>
          <w:sz w:val="28"/>
          <w:szCs w:val="28"/>
        </w:rPr>
        <w:t>у</w:t>
      </w:r>
      <w:r w:rsidRPr="00445F44">
        <w:rPr>
          <w:rFonts w:ascii="Times New Roman" w:hAnsi="Times New Roman"/>
          <w:sz w:val="28"/>
          <w:szCs w:val="28"/>
        </w:rPr>
        <w:t xml:space="preserve"> территории</w:t>
      </w:r>
      <w:r>
        <w:rPr>
          <w:rFonts w:ascii="Times New Roman" w:hAnsi="Times New Roman"/>
          <w:sz w:val="28"/>
          <w:szCs w:val="28"/>
        </w:rPr>
        <w:t xml:space="preserve"> стелы «Город воинской Славы» (первая очередь работ);</w:t>
      </w:r>
    </w:p>
    <w:p w:rsidR="006E2614" w:rsidRDefault="006E2614" w:rsidP="006E261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C83A7A">
        <w:rPr>
          <w:rFonts w:ascii="Times New Roman" w:hAnsi="Times New Roman"/>
          <w:sz w:val="28"/>
          <w:szCs w:val="28"/>
        </w:rPr>
        <w:t>лагоустро</w:t>
      </w:r>
      <w:r>
        <w:rPr>
          <w:rFonts w:ascii="Times New Roman" w:hAnsi="Times New Roman"/>
          <w:sz w:val="28"/>
          <w:szCs w:val="28"/>
        </w:rPr>
        <w:t xml:space="preserve">ена </w:t>
      </w:r>
      <w:r w:rsidRPr="00C83A7A">
        <w:rPr>
          <w:rFonts w:ascii="Times New Roman" w:hAnsi="Times New Roman"/>
          <w:sz w:val="28"/>
          <w:szCs w:val="28"/>
        </w:rPr>
        <w:t>территори</w:t>
      </w:r>
      <w:r>
        <w:rPr>
          <w:rFonts w:ascii="Times New Roman" w:hAnsi="Times New Roman"/>
          <w:sz w:val="28"/>
          <w:szCs w:val="28"/>
        </w:rPr>
        <w:t>я</w:t>
      </w:r>
      <w:r w:rsidRPr="00C83A7A">
        <w:rPr>
          <w:rFonts w:ascii="Times New Roman" w:hAnsi="Times New Roman"/>
          <w:sz w:val="28"/>
          <w:szCs w:val="28"/>
        </w:rPr>
        <w:t xml:space="preserve"> МАДОУ «Детский сад №50» с ремонтом асфальтобетонных покрытий</w:t>
      </w:r>
      <w:r>
        <w:rPr>
          <w:rFonts w:ascii="Times New Roman" w:hAnsi="Times New Roman"/>
          <w:sz w:val="28"/>
          <w:szCs w:val="28"/>
        </w:rPr>
        <w:t>; б</w:t>
      </w:r>
      <w:r w:rsidRPr="00174F88">
        <w:rPr>
          <w:rFonts w:ascii="Times New Roman" w:hAnsi="Times New Roman"/>
          <w:sz w:val="28"/>
          <w:szCs w:val="28"/>
        </w:rPr>
        <w:t>лагоустро</w:t>
      </w:r>
      <w:r>
        <w:rPr>
          <w:rFonts w:ascii="Times New Roman" w:hAnsi="Times New Roman"/>
          <w:sz w:val="28"/>
          <w:szCs w:val="28"/>
        </w:rPr>
        <w:t xml:space="preserve">ен </w:t>
      </w:r>
      <w:r w:rsidRPr="00174F88">
        <w:rPr>
          <w:rFonts w:ascii="Times New Roman" w:hAnsi="Times New Roman"/>
          <w:sz w:val="28"/>
          <w:szCs w:val="28"/>
        </w:rPr>
        <w:t>сквер у Храмового комплекса по ул. Владивостокская</w:t>
      </w:r>
      <w:r>
        <w:rPr>
          <w:rFonts w:ascii="Times New Roman" w:hAnsi="Times New Roman"/>
          <w:sz w:val="28"/>
          <w:szCs w:val="28"/>
        </w:rPr>
        <w:t>; п</w:t>
      </w:r>
      <w:r w:rsidRPr="007D1FC3">
        <w:rPr>
          <w:rFonts w:ascii="Times New Roman" w:hAnsi="Times New Roman"/>
          <w:sz w:val="28"/>
          <w:szCs w:val="28"/>
        </w:rPr>
        <w:t>роведен</w:t>
      </w:r>
      <w:r>
        <w:rPr>
          <w:rFonts w:ascii="Times New Roman" w:hAnsi="Times New Roman"/>
          <w:sz w:val="28"/>
          <w:szCs w:val="28"/>
        </w:rPr>
        <w:t>ы</w:t>
      </w:r>
      <w:r w:rsidRPr="007D1FC3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Pr="007D1FC3">
        <w:rPr>
          <w:rFonts w:ascii="Times New Roman" w:hAnsi="Times New Roman"/>
          <w:sz w:val="28"/>
          <w:szCs w:val="28"/>
        </w:rPr>
        <w:t xml:space="preserve"> по лесоустройству лесов и разработке лесохозяйственного регламента лесничества</w:t>
      </w:r>
      <w:r>
        <w:rPr>
          <w:rFonts w:ascii="Times New Roman" w:hAnsi="Times New Roman"/>
          <w:sz w:val="28"/>
          <w:szCs w:val="28"/>
        </w:rPr>
        <w:t>;</w:t>
      </w:r>
    </w:p>
    <w:p w:rsidR="006E2614" w:rsidRPr="00DF5319" w:rsidRDefault="006E2614" w:rsidP="006E2614">
      <w:pPr>
        <w:spacing w:after="0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проведены работы по </w:t>
      </w:r>
      <w:r w:rsidRPr="00D5452F">
        <w:rPr>
          <w:rFonts w:ascii="Times New Roman" w:hAnsi="Times New Roman"/>
          <w:sz w:val="28"/>
          <w:szCs w:val="28"/>
        </w:rPr>
        <w:t>содержанию л</w:t>
      </w:r>
      <w:r w:rsidRPr="008645CC">
        <w:rPr>
          <w:rFonts w:ascii="Times New Roman" w:hAnsi="Times New Roman"/>
          <w:sz w:val="28"/>
          <w:szCs w:val="28"/>
        </w:rPr>
        <w:t>есных зон городского округа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645CC">
        <w:rPr>
          <w:rFonts w:ascii="Times New Roman" w:hAnsi="Times New Roman"/>
          <w:sz w:val="28"/>
          <w:szCs w:val="28"/>
        </w:rPr>
        <w:t>санит</w:t>
      </w:r>
      <w:r>
        <w:rPr>
          <w:rFonts w:ascii="Times New Roman" w:hAnsi="Times New Roman"/>
          <w:sz w:val="28"/>
          <w:szCs w:val="28"/>
        </w:rPr>
        <w:t xml:space="preserve">арная рубка зеленых насаждений и установка баннеров-аншлагов (77); </w:t>
      </w:r>
    </w:p>
    <w:p w:rsidR="006E2614" w:rsidRDefault="006E2614" w:rsidP="006E2614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683B">
        <w:rPr>
          <w:rFonts w:ascii="Times New Roman" w:hAnsi="Times New Roman"/>
          <w:sz w:val="28"/>
          <w:szCs w:val="28"/>
        </w:rPr>
        <w:t xml:space="preserve">- </w:t>
      </w:r>
      <w:r w:rsidRPr="0052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обустройство и содержание мест традиционного захоронения: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D5452F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ыполнялись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по</w:t>
      </w:r>
      <w:r w:rsidRPr="00D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механизированн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снегоочистк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5452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вывоз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мусора с дорог, площадей, в секторах текущих захоронений и захоронения невостребованных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D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расчистка от снега и уход за памятниками ветеранам Великой Отечественной войны, расчистка от снега возле ворот кладбища, административных зданий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D5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установка и обслуживание мобильных туалетов в дни христианских праздников, ремонт и восстановление мелиоративной системы, ремонт межсекторных дорог, посадка деревьев.</w:t>
      </w:r>
    </w:p>
    <w:p w:rsidR="006E2614" w:rsidRDefault="006E2614" w:rsidP="006E2614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92677">
        <w:rPr>
          <w:rFonts w:ascii="Times New Roman" w:eastAsia="Calibri" w:hAnsi="Times New Roman" w:cs="Times New Roman"/>
          <w:sz w:val="28"/>
          <w:szCs w:val="28"/>
        </w:rPr>
        <w:t xml:space="preserve">- улучшение санитарно-гигиенических условий, совершенствование процесса сбора и утилизации строительных, промышленных и бытовых отходов: </w:t>
      </w:r>
    </w:p>
    <w:p w:rsidR="006E2614" w:rsidRDefault="006E2614" w:rsidP="006E2614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92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9267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92677">
        <w:rPr>
          <w:rFonts w:ascii="Times New Roman" w:eastAsia="Calibri" w:hAnsi="Times New Roman" w:cs="Times New Roman"/>
          <w:sz w:val="28"/>
          <w:szCs w:val="28"/>
        </w:rPr>
        <w:t>риобретены</w:t>
      </w:r>
      <w:proofErr w:type="gramEnd"/>
      <w:r w:rsidRPr="000926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092677">
        <w:rPr>
          <w:rFonts w:ascii="Times New Roman" w:eastAsia="Calibri" w:hAnsi="Times New Roman" w:cs="Times New Roman"/>
          <w:sz w:val="28"/>
          <w:szCs w:val="28"/>
        </w:rPr>
        <w:t xml:space="preserve"> мусоровоза;</w:t>
      </w:r>
    </w:p>
    <w:p w:rsidR="006E2614" w:rsidRPr="00092677" w:rsidRDefault="006E2614" w:rsidP="006E2614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92677">
        <w:rPr>
          <w:rFonts w:ascii="Times New Roman" w:hAnsi="Times New Roman"/>
          <w:sz w:val="28"/>
          <w:szCs w:val="28"/>
        </w:rPr>
        <w:t>установлено 24 заглубленных контейнеров на 14 площадках, предназначенных для сбора мусора</w:t>
      </w:r>
      <w:r w:rsidRPr="0009267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E2614" w:rsidRPr="00F23CD2" w:rsidRDefault="006E2614" w:rsidP="006E261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23CD2">
        <w:rPr>
          <w:rFonts w:ascii="Times New Roman" w:eastAsia="Calibri" w:hAnsi="Times New Roman" w:cs="Times New Roman"/>
          <w:sz w:val="28"/>
          <w:szCs w:val="28"/>
        </w:rPr>
        <w:t xml:space="preserve">В рамках мероприятий по содержанию и текущему ремонту объектов благоустройства территории городского округа в 2015 году осуществлялся </w:t>
      </w:r>
      <w:r w:rsidRPr="00F23CD2">
        <w:rPr>
          <w:rFonts w:ascii="Times New Roman" w:eastAsia="Calibri" w:hAnsi="Times New Roman" w:cs="Times New Roman"/>
          <w:sz w:val="28"/>
          <w:szCs w:val="28"/>
        </w:rPr>
        <w:lastRenderedPageBreak/>
        <w:t>комплекс мероприятий по зимнему и летнему содержанию объектов благоустройства.</w:t>
      </w:r>
      <w:proofErr w:type="gramEnd"/>
    </w:p>
    <w:p w:rsidR="006E2614" w:rsidRPr="00B05E10" w:rsidRDefault="006E2614" w:rsidP="006E261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90CA1">
        <w:rPr>
          <w:rFonts w:ascii="Times New Roman" w:eastAsia="Calibri" w:hAnsi="Times New Roman" w:cs="Times New Roman"/>
          <w:sz w:val="28"/>
          <w:szCs w:val="28"/>
        </w:rPr>
        <w:t>В настоящий момент времени</w:t>
      </w:r>
      <w:r w:rsidRPr="00B05E10">
        <w:rPr>
          <w:rFonts w:ascii="Times New Roman" w:eastAsia="Calibri" w:hAnsi="Times New Roman" w:cs="Times New Roman"/>
          <w:sz w:val="28"/>
          <w:szCs w:val="28"/>
        </w:rPr>
        <w:t xml:space="preserve"> ведутся работы:</w:t>
      </w:r>
    </w:p>
    <w:p w:rsidR="006E2614" w:rsidRDefault="006E2614" w:rsidP="006E2614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к</w:t>
      </w:r>
      <w:r w:rsidRPr="00100EB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апитальн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100EB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текущ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Pr="00100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00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00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подпорных стен, в том числе разработк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00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проектной документации. Выполнение работ запланировано до ноября 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В 2016 году планируется реконструировать и отремонтировать 15 метров кубических подпорных стен;</w:t>
      </w:r>
    </w:p>
    <w:p w:rsidR="006E2614" w:rsidRPr="00F73918" w:rsidRDefault="006E2614" w:rsidP="006E2614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текущему ремонту и содержанию лестничных переходов, завершение части работ планируется в ноябре 2016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текущем году планируется </w:t>
      </w:r>
      <w:r w:rsidRPr="00DD41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отремонтиро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около 30 лестничных переходов</w:t>
      </w:r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2614" w:rsidRPr="00B85B84" w:rsidRDefault="006E2614" w:rsidP="006E261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73918">
        <w:rPr>
          <w:rFonts w:ascii="Times New Roman" w:eastAsia="Calibri" w:hAnsi="Times New Roman" w:cs="Times New Roman"/>
          <w:sz w:val="28"/>
          <w:szCs w:val="28"/>
        </w:rPr>
        <w:t>- по содержанию детских площадок</w:t>
      </w:r>
      <w:r w:rsidRPr="00B85B84">
        <w:rPr>
          <w:rFonts w:ascii="Times New Roman" w:eastAsia="Calibri" w:hAnsi="Times New Roman" w:cs="Times New Roman"/>
          <w:sz w:val="28"/>
          <w:szCs w:val="28"/>
        </w:rPr>
        <w:t>. Выполн</w:t>
      </w:r>
      <w:r>
        <w:rPr>
          <w:rFonts w:ascii="Times New Roman" w:eastAsia="Calibri" w:hAnsi="Times New Roman" w:cs="Times New Roman"/>
          <w:sz w:val="28"/>
          <w:szCs w:val="28"/>
        </w:rPr>
        <w:t>ены</w:t>
      </w:r>
      <w:r w:rsidRPr="00B85B84">
        <w:rPr>
          <w:rFonts w:ascii="Times New Roman" w:eastAsia="Calibri" w:hAnsi="Times New Roman" w:cs="Times New Roman"/>
          <w:sz w:val="28"/>
          <w:szCs w:val="28"/>
        </w:rPr>
        <w:t xml:space="preserve"> работы по наполнению песком песочниц, расположенных на территории детских площадок. </w:t>
      </w:r>
    </w:p>
    <w:p w:rsidR="006E2614" w:rsidRDefault="006E2614" w:rsidP="006E2614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пр. 50 лет Октября, 35. Введутся работы по установке спортивного оборудования (</w:t>
      </w:r>
      <w:proofErr w:type="spellStart"/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воркаутов</w:t>
      </w:r>
      <w:proofErr w:type="spellEnd"/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благоустройств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детской игровой площадки по ул. В. Кручины, 10-10/1 и укомплектованию детских площадок: ул</w:t>
      </w:r>
      <w:proofErr w:type="gramStart"/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аксутова.18; П.Ильичева,54; ул. </w:t>
      </w:r>
      <w:proofErr w:type="spellStart"/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Кроноцкая</w:t>
      </w:r>
      <w:proofErr w:type="spellEnd"/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8; </w:t>
      </w:r>
      <w:proofErr w:type="spellStart"/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ул.Пограничная</w:t>
      </w:r>
      <w:proofErr w:type="spellEnd"/>
      <w:r w:rsidRPr="00F73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22, завершение работ в сентябре 2016 года. </w:t>
      </w:r>
    </w:p>
    <w:p w:rsidR="006E2614" w:rsidRPr="008034F2" w:rsidRDefault="006E2614" w:rsidP="006E2614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освобождение земельных участков от самовольно установленных объектов движимого имущества (торговые передвижные павильоны, металлические гаражи, автомобильные кузова). Вывезено: 1 объект движимого имущества, 10 металлических гаражей, 2 автомобильных кузова.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конца 2016 года п</w:t>
      </w:r>
      <w:r w:rsidRPr="008034F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ланируется вывоз еще 20 объектов движимого имущества, 390 гараже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03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138 автомобильных кузовов;</w:t>
      </w:r>
    </w:p>
    <w:p w:rsidR="006E2614" w:rsidRPr="00A647D0" w:rsidRDefault="006E2614" w:rsidP="006E2614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озеленению и ландшафтному оформлению территорий </w:t>
      </w:r>
      <w:proofErr w:type="gramStart"/>
      <w:r w:rsidRPr="00966B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Петропавловск-Камчатского</w:t>
      </w:r>
      <w:proofErr w:type="gramEnd"/>
      <w:r w:rsidRPr="00966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6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ыполняются работы по ручной побелке деревьев. До конца </w:t>
      </w:r>
      <w:r w:rsidRPr="00A647D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2016 планируется осуществить установку 80 напольных и 90 подвесных вазонов;</w:t>
      </w:r>
    </w:p>
    <w:p w:rsidR="006E2614" w:rsidRPr="007B7C00" w:rsidRDefault="006E2614" w:rsidP="006E2614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A64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B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благоустройству мест массового отдыха горожан</w:t>
      </w:r>
      <w:r w:rsidRPr="00A647D0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Ведутся работы по Благоустройство территории стелы «Город воинской Славы» (II очередь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64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Завершены работы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647D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осстановлению разрушенных и поврежденных элементов мемориальной стены, расположенной в парке Победы по бульвару Рыбацкой Славы. Ведутся прочие работы, связанные с благоустройством: устройство отбойного ограждения, ремонт скаме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Pr="00A64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клумбах, восстановление окрасочного слоя, облицовка природным камнем. Готовится аукционная документация на приобретение малых архитектурных форм (урн). В 2016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64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64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по</w:t>
      </w:r>
      <w:r w:rsidRPr="00A64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благоустройств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64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сквера у Храмового комплекса по ул. </w:t>
      </w:r>
      <w:proofErr w:type="gramStart"/>
      <w:r w:rsidRPr="00A647D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Владивостокская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2614" w:rsidRPr="00F83214" w:rsidRDefault="006E2614" w:rsidP="006E261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21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содержанию 15 биотуалетов и объектов ландшафтной архитектуры;</w:t>
      </w:r>
    </w:p>
    <w:p w:rsidR="006E2614" w:rsidRDefault="006E2614" w:rsidP="006E261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электроснабжению, текущему ремонту, техническому обслуживанию </w:t>
      </w:r>
      <w:proofErr w:type="gramStart"/>
      <w:r w:rsidRPr="00F8321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линий наружного освещения мест массового отдыха</w:t>
      </w:r>
      <w:proofErr w:type="gramEnd"/>
      <w:r w:rsidRPr="00F83214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Мероприятие осуществляется в течение 2016 года;</w:t>
      </w:r>
    </w:p>
    <w:p w:rsidR="006E2614" w:rsidRDefault="006E2614" w:rsidP="006E261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</w:t>
      </w:r>
      <w:r w:rsidRPr="000A7E3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A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лесных зон городского округа. Заключено 5 муниципальных контрактов на содержание лесных дорог, установку информационных щитов (аншлагов), обустройство мест отдыха горожан в лесных зонах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2614" w:rsidRPr="00F83214" w:rsidRDefault="006E2614" w:rsidP="006E261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</w:t>
      </w:r>
      <w:r w:rsidRPr="000A7E3B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A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праздничных мероприятий в местах массового отдыха, 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0A7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A7E3B">
        <w:rPr>
          <w:rFonts w:ascii="Times New Roman" w:eastAsia="Times New Roman" w:hAnsi="Times New Roman" w:cs="Times New Roman"/>
          <w:sz w:val="28"/>
          <w:szCs w:val="28"/>
          <w:lang w:eastAsia="ru-RU"/>
        </w:rPr>
        <w:t>т уборку и подготовку мест проведения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2614" w:rsidRDefault="006E2614" w:rsidP="006E261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E3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обустройству и содержанию мест традиционного захоронения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2614" w:rsidRPr="000A7E3B" w:rsidRDefault="006E2614" w:rsidP="006E261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6071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комплексному благоустройству микрорайона Мишенный (1 этап).</w:t>
      </w:r>
    </w:p>
    <w:p w:rsidR="006E2614" w:rsidRPr="002B2FDF" w:rsidRDefault="006E2614" w:rsidP="006E2614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3F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в 2016 году д</w:t>
      </w:r>
      <w:r w:rsidRPr="002B2FDF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решения задачи по улучшению санитарно-гигиенических условий, совершенствованию процесса сбора и утилизации строительных, промышленных и бытовых отходов</w:t>
      </w:r>
      <w:r w:rsidRPr="00713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2B2FD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</w:t>
      </w:r>
      <w:r w:rsidRPr="007133F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B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</w:t>
      </w:r>
      <w:r w:rsidRPr="007133F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B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</w:t>
      </w:r>
      <w:r w:rsidRPr="007133F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B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устройство 16 заглубленных контейнеров</w:t>
      </w:r>
      <w:r w:rsidRPr="00713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B2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устройство 11 контейнерных площадок для сбора ТБО и КГО. Проведение работ планируется в 3 квартале 2016 года. </w:t>
      </w:r>
    </w:p>
    <w:p w:rsidR="006E2614" w:rsidRPr="00B05E10" w:rsidRDefault="006E2614" w:rsidP="006E261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90CA1">
        <w:rPr>
          <w:rFonts w:ascii="Times New Roman" w:eastAsia="Calibri" w:hAnsi="Times New Roman" w:cs="Times New Roman"/>
          <w:sz w:val="28"/>
          <w:szCs w:val="28"/>
        </w:rPr>
        <w:t>В прогнозном периоде</w:t>
      </w:r>
      <w:r w:rsidRPr="00B05E1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B05E10">
        <w:rPr>
          <w:rFonts w:ascii="Times New Roman" w:eastAsia="Calibri" w:hAnsi="Times New Roman" w:cs="Times New Roman"/>
          <w:sz w:val="28"/>
          <w:szCs w:val="28"/>
        </w:rPr>
        <w:t>деятельность в сфере благоустройства территории городского округа будет направлена на реализацию мероприятий:</w:t>
      </w:r>
    </w:p>
    <w:p w:rsidR="006E2614" w:rsidRPr="00165015" w:rsidRDefault="006E2614" w:rsidP="006E261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65015">
        <w:rPr>
          <w:rFonts w:ascii="Times New Roman" w:eastAsia="Calibri" w:hAnsi="Times New Roman" w:cs="Times New Roman"/>
          <w:sz w:val="28"/>
          <w:szCs w:val="28"/>
        </w:rPr>
        <w:t xml:space="preserve">- содержание, капитальный, текущий ремонт и установка объектов благоустройства; </w:t>
      </w:r>
    </w:p>
    <w:p w:rsidR="006E2614" w:rsidRPr="00165015" w:rsidRDefault="006E2614" w:rsidP="006E261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65015">
        <w:rPr>
          <w:rFonts w:ascii="Times New Roman" w:eastAsia="Calibri" w:hAnsi="Times New Roman" w:cs="Times New Roman"/>
          <w:sz w:val="28"/>
          <w:szCs w:val="28"/>
        </w:rPr>
        <w:t xml:space="preserve">- ликвидация движимого и недвижимого имущества; </w:t>
      </w:r>
    </w:p>
    <w:p w:rsidR="006E2614" w:rsidRPr="00165015" w:rsidRDefault="006E2614" w:rsidP="006E261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65015">
        <w:rPr>
          <w:rFonts w:ascii="Times New Roman" w:eastAsia="Calibri" w:hAnsi="Times New Roman" w:cs="Times New Roman"/>
          <w:sz w:val="28"/>
          <w:szCs w:val="28"/>
        </w:rPr>
        <w:t xml:space="preserve">- благоустройство объектов и территорий городского округа; </w:t>
      </w:r>
    </w:p>
    <w:p w:rsidR="006E2614" w:rsidRPr="00165015" w:rsidRDefault="006E2614" w:rsidP="006E261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65015">
        <w:rPr>
          <w:rFonts w:ascii="Times New Roman" w:eastAsia="Calibri" w:hAnsi="Times New Roman" w:cs="Times New Roman"/>
          <w:sz w:val="28"/>
          <w:szCs w:val="28"/>
        </w:rPr>
        <w:t xml:space="preserve">- благоустройство мест массового отдыха горожан; </w:t>
      </w:r>
    </w:p>
    <w:p w:rsidR="006E2614" w:rsidRDefault="006E2614" w:rsidP="006E261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165015">
        <w:rPr>
          <w:rFonts w:ascii="Times New Roman" w:eastAsia="Calibri" w:hAnsi="Times New Roman" w:cs="Times New Roman"/>
          <w:sz w:val="28"/>
          <w:szCs w:val="28"/>
        </w:rPr>
        <w:t>- устройство ограждений объектов и территорий городского округа;</w:t>
      </w:r>
    </w:p>
    <w:p w:rsidR="006E2614" w:rsidRDefault="006E2614" w:rsidP="006E261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содержание лесных зон городского округа;</w:t>
      </w:r>
    </w:p>
    <w:p w:rsidR="006E2614" w:rsidRDefault="006E2614" w:rsidP="006E2614">
      <w:pPr>
        <w:tabs>
          <w:tab w:val="left" w:pos="851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- о</w:t>
      </w:r>
      <w:r w:rsidRPr="00165015">
        <w:rPr>
          <w:rFonts w:ascii="Times New Roman" w:eastAsia="Calibri" w:hAnsi="Times New Roman" w:cs="Times New Roman"/>
          <w:sz w:val="28"/>
          <w:szCs w:val="28"/>
        </w:rPr>
        <w:t>рганизация муниципальных мероприятий (смотры, конкурсы, фестивали, выставки, ярмарки, семинары, круглые столы, соревнования, праздничные мероприятия, гуляния, субботники, учения, чествования и т.п.)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6E2614" w:rsidRPr="006348DF" w:rsidRDefault="006E2614" w:rsidP="006E2614">
      <w:pPr>
        <w:tabs>
          <w:tab w:val="left" w:pos="851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348DF">
        <w:rPr>
          <w:rFonts w:ascii="Times New Roman" w:eastAsia="Calibri" w:hAnsi="Times New Roman" w:cs="Times New Roman"/>
          <w:sz w:val="28"/>
          <w:szCs w:val="28"/>
        </w:rPr>
        <w:t>- содержание, капитальный, текущий ремонт объектов нежилого фонда муниципальной собственности;</w:t>
      </w:r>
    </w:p>
    <w:p w:rsidR="006E2614" w:rsidRPr="006348DF" w:rsidRDefault="006E2614" w:rsidP="006E2614">
      <w:pPr>
        <w:tabs>
          <w:tab w:val="left" w:pos="851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348DF">
        <w:rPr>
          <w:rFonts w:ascii="Times New Roman" w:eastAsia="Calibri" w:hAnsi="Times New Roman" w:cs="Times New Roman"/>
          <w:sz w:val="28"/>
          <w:szCs w:val="28"/>
        </w:rPr>
        <w:t xml:space="preserve">- осуществление капитальных вложений в объекты нежилого фонда (в том числе муниципальной и иных форм собственности); </w:t>
      </w:r>
    </w:p>
    <w:p w:rsidR="006E2614" w:rsidRPr="006348DF" w:rsidRDefault="006E2614" w:rsidP="006E2614">
      <w:pPr>
        <w:tabs>
          <w:tab w:val="left" w:pos="851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348DF">
        <w:rPr>
          <w:rFonts w:ascii="Times New Roman" w:eastAsia="Calibri" w:hAnsi="Times New Roman" w:cs="Times New Roman"/>
          <w:sz w:val="28"/>
          <w:szCs w:val="28"/>
        </w:rPr>
        <w:t>- организация ритуальных услуг;</w:t>
      </w:r>
    </w:p>
    <w:p w:rsidR="006E2614" w:rsidRDefault="006E2614" w:rsidP="006E261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348DF">
        <w:rPr>
          <w:rFonts w:ascii="Times New Roman" w:eastAsia="Calibri" w:hAnsi="Times New Roman" w:cs="Times New Roman"/>
          <w:sz w:val="28"/>
          <w:szCs w:val="28"/>
        </w:rPr>
        <w:t>- приобретение в муниципальную собственность и установка объектов движимого имущества.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63AFB" w:rsidRDefault="00A63AFB" w:rsidP="006E261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E2614" w:rsidRDefault="00590CA1" w:rsidP="00A63AFB">
      <w:pPr>
        <w:pStyle w:val="1"/>
      </w:pPr>
      <w:bookmarkStart w:id="94" w:name="_Toc368930240"/>
      <w:bookmarkStart w:id="95" w:name="_Toc368930864"/>
      <w:bookmarkStart w:id="96" w:name="_Toc368988922"/>
      <w:bookmarkStart w:id="97" w:name="_Toc400529689"/>
      <w:bookmarkStart w:id="98" w:name="_Toc430947281"/>
      <w:bookmarkStart w:id="99" w:name="_Toc465927706"/>
      <w:r w:rsidRPr="00A63AFB">
        <w:t>22</w:t>
      </w:r>
      <w:r w:rsidR="006E2614" w:rsidRPr="00A63AFB">
        <w:t>. Экология и охрана окружающей среды</w:t>
      </w:r>
      <w:bookmarkEnd w:id="94"/>
      <w:bookmarkEnd w:id="95"/>
      <w:bookmarkEnd w:id="96"/>
      <w:bookmarkEnd w:id="97"/>
      <w:bookmarkEnd w:id="98"/>
      <w:bookmarkEnd w:id="99"/>
    </w:p>
    <w:p w:rsidR="00A63AFB" w:rsidRPr="00A63AFB" w:rsidRDefault="00A63AFB" w:rsidP="00A63AFB"/>
    <w:p w:rsidR="006E2614" w:rsidRPr="006E2614" w:rsidRDefault="006E2614" w:rsidP="00626D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 xml:space="preserve">Поддержание безопасной экологической обстановки и охрана окружающей среды являются важными задачами для администрации </w:t>
      </w:r>
      <w:proofErr w:type="gramStart"/>
      <w:r w:rsidRPr="006E2614">
        <w:rPr>
          <w:rFonts w:ascii="Times New Roman" w:hAnsi="Times New Roman" w:cs="Times New Roman"/>
          <w:sz w:val="28"/>
          <w:szCs w:val="28"/>
        </w:rPr>
        <w:t>Петропавловск-Камчатского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 xml:space="preserve"> городского округа. </w:t>
      </w:r>
      <w:proofErr w:type="gramStart"/>
      <w:r w:rsidRPr="006E2614">
        <w:rPr>
          <w:rFonts w:ascii="Times New Roman" w:hAnsi="Times New Roman" w:cs="Times New Roman"/>
          <w:sz w:val="28"/>
          <w:szCs w:val="28"/>
        </w:rPr>
        <w:t>Мероприятия, выполняемые в этой сфере решают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 xml:space="preserve"> такие задачи как: </w:t>
      </w:r>
    </w:p>
    <w:p w:rsidR="006E2614" w:rsidRPr="006E2614" w:rsidRDefault="006E2614" w:rsidP="00626D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>- уменьшение количества заболеваний, вызванных неблагоприятной экологической обстановкой;</w:t>
      </w:r>
    </w:p>
    <w:p w:rsidR="006E2614" w:rsidRPr="006E2614" w:rsidRDefault="006E2614" w:rsidP="00626D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>- увеличение продолжительности жизни;</w:t>
      </w:r>
    </w:p>
    <w:p w:rsidR="006E2614" w:rsidRPr="006E2614" w:rsidRDefault="006E2614" w:rsidP="00626D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>- повышение инвестиционной и туристической привлекательности.</w:t>
      </w:r>
    </w:p>
    <w:p w:rsidR="006E2614" w:rsidRPr="006E2614" w:rsidRDefault="006E2614" w:rsidP="00626DAB">
      <w:pPr>
        <w:widowControl w:val="0"/>
        <w:spacing w:after="0"/>
        <w:rPr>
          <w:rFonts w:ascii="Times New Roman" w:eastAsia="Courier New" w:hAnsi="Times New Roman" w:cs="Times New Roman"/>
          <w:sz w:val="28"/>
          <w:szCs w:val="28"/>
        </w:rPr>
      </w:pPr>
      <w:r w:rsidRPr="006E2614">
        <w:rPr>
          <w:rFonts w:ascii="Times New Roman" w:eastAsia="Courier New" w:hAnsi="Times New Roman" w:cs="Times New Roman"/>
          <w:sz w:val="28"/>
          <w:szCs w:val="28"/>
        </w:rPr>
        <w:t>Основными проблемами, в сфере экологии и охраны окружающей среды остаются:</w:t>
      </w:r>
    </w:p>
    <w:p w:rsidR="006E2614" w:rsidRPr="006E2614" w:rsidRDefault="006E2614" w:rsidP="00626DAB">
      <w:pPr>
        <w:widowControl w:val="0"/>
        <w:tabs>
          <w:tab w:val="left" w:pos="993"/>
        </w:tabs>
        <w:spacing w:after="0"/>
        <w:rPr>
          <w:rFonts w:ascii="Times New Roman" w:eastAsia="Courier New" w:hAnsi="Times New Roman" w:cs="Times New Roman"/>
          <w:sz w:val="28"/>
          <w:szCs w:val="28"/>
        </w:rPr>
      </w:pPr>
      <w:r w:rsidRPr="006E2614">
        <w:rPr>
          <w:rFonts w:ascii="Times New Roman" w:eastAsia="Courier New" w:hAnsi="Times New Roman" w:cs="Times New Roman"/>
          <w:sz w:val="28"/>
          <w:szCs w:val="28"/>
        </w:rPr>
        <w:t>- сбросы неочищенных сточных вод в акваторию Авачинской губы;</w:t>
      </w:r>
    </w:p>
    <w:p w:rsidR="006E2614" w:rsidRPr="006E2614" w:rsidRDefault="006E2614" w:rsidP="00626DAB">
      <w:pPr>
        <w:widowControl w:val="0"/>
        <w:tabs>
          <w:tab w:val="left" w:pos="993"/>
        </w:tabs>
        <w:spacing w:after="0"/>
        <w:rPr>
          <w:rFonts w:ascii="Times New Roman" w:eastAsia="Courier New" w:hAnsi="Times New Roman" w:cs="Times New Roman"/>
          <w:sz w:val="28"/>
          <w:szCs w:val="28"/>
        </w:rPr>
      </w:pPr>
      <w:r w:rsidRPr="006E2614">
        <w:rPr>
          <w:rFonts w:ascii="Times New Roman" w:eastAsia="Courier New" w:hAnsi="Times New Roman" w:cs="Times New Roman"/>
          <w:sz w:val="28"/>
          <w:szCs w:val="28"/>
        </w:rPr>
        <w:t>- ситуация со сбором и утилизацией твердых бытовых отходов, включая опасные отходы (в первую очередь, ртутьсодержащие лампы, автомобильные покрышки);</w:t>
      </w:r>
    </w:p>
    <w:p w:rsidR="006E2614" w:rsidRPr="006E2614" w:rsidRDefault="006E2614" w:rsidP="00626D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eastAsia="Courier New" w:hAnsi="Times New Roman" w:cs="Times New Roman"/>
          <w:sz w:val="28"/>
          <w:szCs w:val="28"/>
        </w:rPr>
        <w:t>- нарушение Правил благоустройства в части вопросов охраны окружающей среды (несанкционированные свалки и пр.)</w:t>
      </w:r>
    </w:p>
    <w:p w:rsidR="006E2614" w:rsidRPr="006E2614" w:rsidRDefault="006E2614" w:rsidP="00626DA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 xml:space="preserve">Основными источниками, оказывающими интенсивное воздействие на качество окружающей среды, являются предприятия теплоэнергетики, </w:t>
      </w:r>
      <w:r w:rsidRPr="006E2614">
        <w:rPr>
          <w:rFonts w:ascii="Times New Roman" w:hAnsi="Times New Roman" w:cs="Times New Roman"/>
          <w:sz w:val="28"/>
          <w:szCs w:val="28"/>
        </w:rPr>
        <w:lastRenderedPageBreak/>
        <w:t xml:space="preserve">автотранспорта, </w:t>
      </w:r>
      <w:proofErr w:type="spellStart"/>
      <w:r w:rsidRPr="006E2614">
        <w:rPr>
          <w:rFonts w:ascii="Times New Roman" w:hAnsi="Times New Roman" w:cs="Times New Roman"/>
          <w:sz w:val="28"/>
          <w:szCs w:val="28"/>
        </w:rPr>
        <w:t>рыбопереработки</w:t>
      </w:r>
      <w:proofErr w:type="spellEnd"/>
      <w:r w:rsidRPr="006E2614">
        <w:rPr>
          <w:rFonts w:ascii="Times New Roman" w:hAnsi="Times New Roman" w:cs="Times New Roman"/>
          <w:sz w:val="28"/>
          <w:szCs w:val="28"/>
        </w:rPr>
        <w:t>, войсковые части, суда военно-морского, рыбодобывающего, торгового и транспортного флотов.</w:t>
      </w:r>
    </w:p>
    <w:p w:rsidR="006E2614" w:rsidRPr="006E2614" w:rsidRDefault="006E2614" w:rsidP="00626DAB">
      <w:pPr>
        <w:widowControl w:val="0"/>
        <w:spacing w:after="0"/>
        <w:rPr>
          <w:rFonts w:ascii="Times New Roman" w:eastAsia="Courier New" w:hAnsi="Times New Roman" w:cs="Times New Roman"/>
          <w:sz w:val="28"/>
          <w:szCs w:val="28"/>
        </w:rPr>
      </w:pPr>
      <w:r w:rsidRPr="006E2614">
        <w:rPr>
          <w:rFonts w:ascii="Times New Roman" w:eastAsia="Courier New" w:hAnsi="Times New Roman" w:cs="Times New Roman"/>
          <w:sz w:val="28"/>
          <w:szCs w:val="28"/>
        </w:rPr>
        <w:t xml:space="preserve">Сбросы неочищенных сточных вод увеличивают антропогенную нагрузку на водные ресурсы городского округа. Наиболее высокой нагрузке в зоне городского округа подвергаются воды Авачинской губы, озер </w:t>
      </w:r>
      <w:proofErr w:type="spellStart"/>
      <w:r w:rsidRPr="006E2614">
        <w:rPr>
          <w:rFonts w:ascii="Times New Roman" w:eastAsia="Courier New" w:hAnsi="Times New Roman" w:cs="Times New Roman"/>
          <w:sz w:val="28"/>
          <w:szCs w:val="28"/>
        </w:rPr>
        <w:t>Халактырского</w:t>
      </w:r>
      <w:proofErr w:type="spellEnd"/>
      <w:r w:rsidRPr="006E2614">
        <w:rPr>
          <w:rFonts w:ascii="Times New Roman" w:eastAsia="Courier New" w:hAnsi="Times New Roman" w:cs="Times New Roman"/>
          <w:sz w:val="28"/>
          <w:szCs w:val="28"/>
        </w:rPr>
        <w:t xml:space="preserve"> и </w:t>
      </w:r>
      <w:proofErr w:type="spellStart"/>
      <w:r w:rsidRPr="006E2614">
        <w:rPr>
          <w:rFonts w:ascii="Times New Roman" w:eastAsia="Courier New" w:hAnsi="Times New Roman" w:cs="Times New Roman"/>
          <w:sz w:val="28"/>
          <w:szCs w:val="28"/>
        </w:rPr>
        <w:t>Култучного</w:t>
      </w:r>
      <w:proofErr w:type="spellEnd"/>
      <w:r w:rsidRPr="006E2614">
        <w:rPr>
          <w:rFonts w:ascii="Times New Roman" w:eastAsia="Courier New" w:hAnsi="Times New Roman" w:cs="Times New Roman"/>
          <w:sz w:val="28"/>
          <w:szCs w:val="28"/>
        </w:rPr>
        <w:t xml:space="preserve">, ручьев Кабан, Кирпичный, </w:t>
      </w:r>
      <w:proofErr w:type="spellStart"/>
      <w:r w:rsidRPr="006E2614">
        <w:rPr>
          <w:rFonts w:ascii="Times New Roman" w:eastAsia="Courier New" w:hAnsi="Times New Roman" w:cs="Times New Roman"/>
          <w:sz w:val="28"/>
          <w:szCs w:val="28"/>
        </w:rPr>
        <w:t>Моховской</w:t>
      </w:r>
      <w:proofErr w:type="spellEnd"/>
      <w:r w:rsidRPr="006E2614">
        <w:rPr>
          <w:rFonts w:ascii="Times New Roman" w:eastAsia="Courier New" w:hAnsi="Times New Roman" w:cs="Times New Roman"/>
          <w:sz w:val="28"/>
          <w:szCs w:val="28"/>
        </w:rPr>
        <w:t xml:space="preserve">, Совхозный, </w:t>
      </w:r>
      <w:proofErr w:type="spellStart"/>
      <w:r w:rsidRPr="006E2614">
        <w:rPr>
          <w:rFonts w:ascii="Times New Roman" w:eastAsia="Courier New" w:hAnsi="Times New Roman" w:cs="Times New Roman"/>
          <w:sz w:val="28"/>
          <w:szCs w:val="28"/>
        </w:rPr>
        <w:t>Крутоберегово</w:t>
      </w:r>
      <w:proofErr w:type="spellEnd"/>
      <w:r w:rsidRPr="006E2614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6E2614" w:rsidRPr="006E2614" w:rsidRDefault="006E2614" w:rsidP="00626DAB">
      <w:pPr>
        <w:widowControl w:val="0"/>
        <w:spacing w:after="0"/>
        <w:rPr>
          <w:rFonts w:ascii="Times New Roman" w:eastAsia="Courier New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bCs/>
          <w:kern w:val="36"/>
          <w:sz w:val="28"/>
          <w:szCs w:val="28"/>
        </w:rPr>
        <w:t>Было сброшено 7,6 млн. м</w:t>
      </w:r>
      <w:r w:rsidRPr="006E2614">
        <w:rPr>
          <w:rFonts w:ascii="Times New Roman" w:hAnsi="Times New Roman" w:cs="Times New Roman"/>
          <w:bCs/>
          <w:kern w:val="36"/>
          <w:sz w:val="28"/>
          <w:szCs w:val="28"/>
          <w:vertAlign w:val="superscript"/>
        </w:rPr>
        <w:t>3</w:t>
      </w:r>
      <w:r w:rsidRPr="006E2614">
        <w:rPr>
          <w:rFonts w:ascii="Times New Roman" w:hAnsi="Times New Roman" w:cs="Times New Roman"/>
          <w:bCs/>
          <w:kern w:val="36"/>
          <w:sz w:val="28"/>
          <w:szCs w:val="28"/>
        </w:rPr>
        <w:t xml:space="preserve"> неочищенных сточных вод в поверхностные водные объекты, что на 0,5 млн. м</w:t>
      </w:r>
      <w:r w:rsidRPr="006E2614">
        <w:rPr>
          <w:rFonts w:ascii="Times New Roman" w:hAnsi="Times New Roman" w:cs="Times New Roman"/>
          <w:bCs/>
          <w:kern w:val="36"/>
          <w:sz w:val="28"/>
          <w:szCs w:val="28"/>
          <w:vertAlign w:val="superscript"/>
        </w:rPr>
        <w:t>3</w:t>
      </w:r>
      <w:r w:rsidRPr="006E2614">
        <w:rPr>
          <w:rFonts w:ascii="Times New Roman" w:hAnsi="Times New Roman" w:cs="Times New Roman"/>
          <w:bCs/>
          <w:kern w:val="36"/>
          <w:sz w:val="28"/>
          <w:szCs w:val="28"/>
        </w:rPr>
        <w:t xml:space="preserve"> больше чем в 2014 году (в 2014 году данный показатель имел наименьшее значение за период с 2010 года). </w:t>
      </w:r>
    </w:p>
    <w:p w:rsidR="006E2614" w:rsidRPr="006E2614" w:rsidRDefault="006E2614" w:rsidP="00416BF2">
      <w:pPr>
        <w:widowControl w:val="0"/>
        <w:spacing w:after="6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6E2614">
        <w:rPr>
          <w:rFonts w:ascii="Times New Roman" w:eastAsia="Courier New" w:hAnsi="Times New Roman" w:cs="Times New Roman"/>
          <w:sz w:val="28"/>
          <w:szCs w:val="28"/>
        </w:rPr>
        <w:t xml:space="preserve">По данным </w:t>
      </w:r>
      <w:r w:rsidRPr="006E2614">
        <w:rPr>
          <w:rFonts w:ascii="Times New Roman" w:hAnsi="Times New Roman" w:cs="Times New Roman"/>
          <w:bCs/>
          <w:kern w:val="36"/>
          <w:sz w:val="28"/>
          <w:szCs w:val="28"/>
        </w:rPr>
        <w:t>Территориального органа Федеральной службы государственной статистики по Камчатскому краю в 2015 году действовало                    31 предприятие, имеющее выбросы вредных веществ в атмосферу.</w:t>
      </w:r>
    </w:p>
    <w:p w:rsidR="006E2614" w:rsidRPr="006E2614" w:rsidRDefault="006E2614" w:rsidP="00416BF2">
      <w:pPr>
        <w:widowControl w:val="0"/>
        <w:spacing w:after="60"/>
        <w:rPr>
          <w:rFonts w:ascii="Times New Roman" w:eastAsia="Courier New" w:hAnsi="Times New Roman" w:cs="Times New Roman"/>
          <w:sz w:val="28"/>
          <w:szCs w:val="28"/>
        </w:rPr>
      </w:pPr>
      <w:r w:rsidRPr="006E2614">
        <w:rPr>
          <w:rFonts w:ascii="Times New Roman" w:eastAsia="Courier New" w:hAnsi="Times New Roman" w:cs="Times New Roman"/>
          <w:sz w:val="28"/>
          <w:szCs w:val="28"/>
        </w:rPr>
        <w:t xml:space="preserve">Контроль за качеством атмосферного воздуха в </w:t>
      </w:r>
      <w:proofErr w:type="gramStart"/>
      <w:r w:rsidRPr="006E2614">
        <w:rPr>
          <w:rFonts w:ascii="Times New Roman" w:eastAsia="Courier New" w:hAnsi="Times New Roman" w:cs="Times New Roman"/>
          <w:sz w:val="28"/>
          <w:szCs w:val="28"/>
        </w:rPr>
        <w:t>Петропавловск-Камчатском</w:t>
      </w:r>
      <w:proofErr w:type="gramEnd"/>
      <w:r w:rsidRPr="006E2614">
        <w:rPr>
          <w:rFonts w:ascii="Times New Roman" w:eastAsia="Courier New" w:hAnsi="Times New Roman" w:cs="Times New Roman"/>
          <w:sz w:val="28"/>
          <w:szCs w:val="28"/>
        </w:rPr>
        <w:t xml:space="preserve"> городском округе осуществляет ФБГУ «Камчатское управление по гидрометеорологии и мониторингу окружающей среды». </w:t>
      </w:r>
      <w:proofErr w:type="gramStart"/>
      <w:r w:rsidRPr="006E2614">
        <w:rPr>
          <w:rFonts w:ascii="Times New Roman" w:eastAsia="Courier New" w:hAnsi="Times New Roman" w:cs="Times New Roman"/>
          <w:sz w:val="28"/>
          <w:szCs w:val="28"/>
        </w:rPr>
        <w:t>При рассмотрении динамики загрязнения атмосферы по видам вредных веществ за последние 6 лет, доля предельно допустимой концентрации по большему числу вредных веществ существенно не менялась, это связано с малым количеством крупных предприятий промышленного сектора на территории городского округа.</w:t>
      </w:r>
      <w:proofErr w:type="gramEnd"/>
      <w:r w:rsidRPr="006E2614">
        <w:rPr>
          <w:rFonts w:ascii="Times New Roman" w:eastAsia="Courier New" w:hAnsi="Times New Roman" w:cs="Times New Roman"/>
          <w:sz w:val="28"/>
          <w:szCs w:val="28"/>
        </w:rPr>
        <w:t xml:space="preserve"> На протяжении последних 5 лет отмечается систематическое снижение содержания в атмосфере формальдегида и бензапилена. По сравнению с 2010 годом их концентрация уменьшилась на 2,3 и 1,7 процентных пункта соответственно. Не смотря на то, что уровень загрязнения вышеуказанными веществами снижается, на экологической обстановке, (а как следствие и на здоровье населения) это практически не сказывается, т.к. на территории </w:t>
      </w:r>
      <w:proofErr w:type="gramStart"/>
      <w:r w:rsidRPr="006E2614">
        <w:rPr>
          <w:rFonts w:ascii="Times New Roman" w:eastAsia="Courier New" w:hAnsi="Times New Roman" w:cs="Times New Roman"/>
          <w:sz w:val="28"/>
          <w:szCs w:val="28"/>
        </w:rPr>
        <w:t>Петропавловск-Камчатского</w:t>
      </w:r>
      <w:proofErr w:type="gramEnd"/>
      <w:r w:rsidRPr="006E2614">
        <w:rPr>
          <w:rFonts w:ascii="Times New Roman" w:eastAsia="Courier New" w:hAnsi="Times New Roman" w:cs="Times New Roman"/>
          <w:sz w:val="28"/>
          <w:szCs w:val="28"/>
        </w:rPr>
        <w:t xml:space="preserve"> городского округа регулярно фиксируется низкий уровень загрязнения атмосферы.</w:t>
      </w:r>
    </w:p>
    <w:p w:rsidR="006E2614" w:rsidRPr="006E2614" w:rsidRDefault="006E2614" w:rsidP="00416BF2">
      <w:pPr>
        <w:widowControl w:val="0"/>
        <w:spacing w:after="60"/>
        <w:rPr>
          <w:rFonts w:ascii="Times New Roman" w:eastAsia="Courier New" w:hAnsi="Times New Roman" w:cs="Times New Roman"/>
          <w:sz w:val="28"/>
          <w:szCs w:val="28"/>
        </w:rPr>
      </w:pPr>
      <w:r w:rsidRPr="006E2614">
        <w:rPr>
          <w:rFonts w:ascii="Times New Roman" w:eastAsia="Courier New" w:hAnsi="Times New Roman" w:cs="Times New Roman"/>
          <w:sz w:val="28"/>
          <w:szCs w:val="28"/>
        </w:rPr>
        <w:t xml:space="preserve">Случаев высокого и экстремально высокого загрязнения воздуха на территории городского округа в 2015 году не зарегистрировано. </w:t>
      </w:r>
    </w:p>
    <w:p w:rsidR="006E2614" w:rsidRPr="006E2614" w:rsidRDefault="006E2614" w:rsidP="00416BF2">
      <w:pPr>
        <w:widowControl w:val="0"/>
        <w:spacing w:after="60"/>
        <w:rPr>
          <w:rFonts w:ascii="Times New Roman" w:hAnsi="Times New Roman" w:cs="Times New Roman"/>
          <w:sz w:val="28"/>
          <w:szCs w:val="28"/>
        </w:rPr>
      </w:pPr>
      <w:proofErr w:type="gramStart"/>
      <w:r w:rsidRPr="006E2614">
        <w:rPr>
          <w:rFonts w:ascii="Times New Roman" w:eastAsia="Courier New" w:hAnsi="Times New Roman" w:cs="Times New Roman"/>
          <w:sz w:val="28"/>
          <w:szCs w:val="28"/>
        </w:rPr>
        <w:t>Одним из основных инструментов для устранения и снижения последствий экологического ущерба является подпрограмма 4 «Ликвидация экологического ущерба от накопленного объема бытовых и промышленных отходов» муниципальной программы «</w:t>
      </w:r>
      <w:r w:rsidRPr="006E2614">
        <w:rPr>
          <w:rFonts w:ascii="Times New Roman" w:hAnsi="Times New Roman" w:cs="Times New Roman"/>
          <w:sz w:val="28"/>
          <w:szCs w:val="28"/>
        </w:rPr>
        <w:t xml:space="preserve">Энергоэффективность, развитие энергетики и коммунального хозяйства, обеспечение жителей Петропавловск-Камчатского городского округа коммунальными услугами, услугами по благоустройству территории и охрана окружающей среды», в 2015 году в рамках данной подпрограммы удалось достичь следующих результатов: </w:t>
      </w:r>
      <w:proofErr w:type="gramEnd"/>
    </w:p>
    <w:p w:rsidR="006E2614" w:rsidRPr="006E2614" w:rsidRDefault="006E2614" w:rsidP="00416BF2">
      <w:pPr>
        <w:widowControl w:val="0"/>
        <w:spacing w:after="6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 xml:space="preserve">- Объем ликвидированных несанкционированных свалок, в </w:t>
      </w:r>
      <w:proofErr w:type="spellStart"/>
      <w:r w:rsidRPr="006E2614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E2614">
        <w:rPr>
          <w:rFonts w:ascii="Times New Roman" w:hAnsi="Times New Roman" w:cs="Times New Roman"/>
          <w:sz w:val="28"/>
          <w:szCs w:val="28"/>
        </w:rPr>
        <w:t>. свалочных очагов составил 19 336 м</w:t>
      </w:r>
      <w:r w:rsidRPr="006E261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E2614">
        <w:rPr>
          <w:rFonts w:ascii="Times New Roman" w:hAnsi="Times New Roman" w:cs="Times New Roman"/>
          <w:sz w:val="28"/>
          <w:szCs w:val="28"/>
        </w:rPr>
        <w:t>, общая площадь которых составила 51 924 м</w:t>
      </w:r>
      <w:proofErr w:type="gramStart"/>
      <w:r w:rsidRPr="006E261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>;</w:t>
      </w:r>
    </w:p>
    <w:p w:rsidR="006E2614" w:rsidRPr="006E2614" w:rsidRDefault="006E2614" w:rsidP="00416BF2">
      <w:pPr>
        <w:widowControl w:val="0"/>
        <w:spacing w:after="6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>- утилизировано отработанных автомобильных покрышек 182,1 тонн и  850 единиц ртутьсодержащих отходов;</w:t>
      </w:r>
    </w:p>
    <w:p w:rsidR="006E2614" w:rsidRPr="00416BF2" w:rsidRDefault="006E2614" w:rsidP="00416BF2">
      <w:pPr>
        <w:widowControl w:val="0"/>
        <w:spacing w:after="60"/>
        <w:rPr>
          <w:rFonts w:ascii="Times New Roman" w:eastAsia="Courier New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 xml:space="preserve">- площадь территорий городского округа, на которых проведены мероприятия дератизации </w:t>
      </w:r>
      <w:r w:rsidRPr="00416BF2">
        <w:rPr>
          <w:rFonts w:ascii="Times New Roman" w:hAnsi="Times New Roman" w:cs="Times New Roman"/>
          <w:sz w:val="28"/>
          <w:szCs w:val="28"/>
        </w:rPr>
        <w:t>составила 587,36 тыс.м</w:t>
      </w:r>
      <w:proofErr w:type="gramStart"/>
      <w:r w:rsidRPr="00416B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416BF2">
        <w:rPr>
          <w:rFonts w:ascii="Times New Roman" w:hAnsi="Times New Roman" w:cs="Times New Roman"/>
          <w:sz w:val="28"/>
          <w:szCs w:val="28"/>
        </w:rPr>
        <w:t>.</w:t>
      </w:r>
    </w:p>
    <w:p w:rsidR="006E2614" w:rsidRPr="00416BF2" w:rsidRDefault="006E2614" w:rsidP="00416BF2">
      <w:pPr>
        <w:spacing w:after="60"/>
        <w:rPr>
          <w:rFonts w:ascii="Times New Roman" w:hAnsi="Times New Roman" w:cs="Times New Roman"/>
          <w:sz w:val="28"/>
          <w:szCs w:val="28"/>
        </w:rPr>
      </w:pPr>
      <w:r w:rsidRPr="00416BF2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416BF2">
        <w:rPr>
          <w:rFonts w:ascii="Times New Roman" w:hAnsi="Times New Roman" w:cs="Times New Roman"/>
          <w:sz w:val="28"/>
          <w:szCs w:val="28"/>
        </w:rPr>
        <w:t>твердых бытовых отходов, направляемых на утилизацию в 2015 году составило</w:t>
      </w:r>
      <w:proofErr w:type="gramEnd"/>
      <w:r w:rsidRPr="00416BF2">
        <w:rPr>
          <w:rFonts w:ascii="Times New Roman" w:hAnsi="Times New Roman" w:cs="Times New Roman"/>
          <w:sz w:val="28"/>
          <w:szCs w:val="28"/>
        </w:rPr>
        <w:t xml:space="preserve"> 11,27 тыс. тонн.</w:t>
      </w:r>
    </w:p>
    <w:p w:rsidR="006E2614" w:rsidRPr="00416BF2" w:rsidRDefault="006E2614" w:rsidP="00416BF2">
      <w:pPr>
        <w:spacing w:after="60"/>
        <w:rPr>
          <w:rFonts w:ascii="Times New Roman" w:hAnsi="Times New Roman" w:cs="Times New Roman"/>
          <w:sz w:val="28"/>
          <w:szCs w:val="28"/>
        </w:rPr>
      </w:pPr>
      <w:proofErr w:type="gramStart"/>
      <w:r w:rsidRPr="00416BF2">
        <w:rPr>
          <w:rFonts w:ascii="Times New Roman" w:hAnsi="Times New Roman" w:cs="Times New Roman"/>
          <w:sz w:val="28"/>
          <w:szCs w:val="28"/>
        </w:rPr>
        <w:lastRenderedPageBreak/>
        <w:t>В целом, политика городского округа в сфере охраны окружающей среды от загрязнения стационарными источниками ориентирована на снижение выбросов загрязняющих веществ за счет внедрения ресурсосберегающих и очистных технологий, для этого в 2015 году выполнялись мероприятия по реконструкции канализационных очистных сооружений "Чавыча", проводилось устройство ограждений зон санитарной охраны водозаборов и резервуаров чистой воды.</w:t>
      </w:r>
      <w:proofErr w:type="gramEnd"/>
    </w:p>
    <w:p w:rsidR="006E2614" w:rsidRPr="006E2614" w:rsidRDefault="006E2614" w:rsidP="00416BF2">
      <w:pPr>
        <w:spacing w:after="6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16BF2">
        <w:rPr>
          <w:rFonts w:ascii="Times New Roman" w:hAnsi="Times New Roman" w:cs="Times New Roman"/>
          <w:sz w:val="28"/>
          <w:szCs w:val="28"/>
        </w:rPr>
        <w:t xml:space="preserve">В соответствии с внесением изменений в Федеральный закон от 24.06.1998 №89-ФЗ «Об отходах производства и потребления» биологические и медицинские отходы выведены из общей </w:t>
      </w:r>
      <w:r w:rsidRPr="006E2614">
        <w:rPr>
          <w:rFonts w:ascii="Times New Roman" w:hAnsi="Times New Roman" w:cs="Times New Roman"/>
          <w:color w:val="000000" w:themeColor="text1"/>
          <w:sz w:val="28"/>
          <w:szCs w:val="28"/>
        </w:rPr>
        <w:t>системы регулирования обращения с отходами и в этой связи в сведениях статистической отчетности не учитываются.</w:t>
      </w:r>
      <w:proofErr w:type="gramEnd"/>
    </w:p>
    <w:p w:rsidR="006E2614" w:rsidRPr="006E2614" w:rsidRDefault="006E2614" w:rsidP="00416BF2">
      <w:pPr>
        <w:spacing w:after="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A1">
        <w:rPr>
          <w:rFonts w:ascii="Times New Roman" w:hAnsi="Times New Roman" w:cs="Times New Roman"/>
          <w:color w:val="000000" w:themeColor="text1"/>
          <w:sz w:val="28"/>
          <w:szCs w:val="28"/>
        </w:rPr>
        <w:t>В прогнозном периоде</w:t>
      </w:r>
      <w:r w:rsidRPr="006E26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городской округ будет только принимать участие в организации деятельности по сбору и транспортированию твердых коммунальных отходов. Будет уделяться внимание осуществлению мероприятий по организации благоустройства территории городского округа, охране, защите городских лесов и водоемов, проведению субботников. </w:t>
      </w:r>
      <w:r w:rsidRPr="006E2614">
        <w:rPr>
          <w:rFonts w:ascii="Times New Roman" w:hAnsi="Times New Roman" w:cs="Times New Roman"/>
          <w:sz w:val="28"/>
          <w:szCs w:val="28"/>
        </w:rPr>
        <w:t>Работу по озеленению и ландшафтному оформлению территории городского округа, планируется ежегодно проводить на территории порядка 4 071 м</w:t>
      </w:r>
      <w:proofErr w:type="gramStart"/>
      <w:r w:rsidRPr="006E261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>.</w:t>
      </w:r>
    </w:p>
    <w:p w:rsidR="006E2614" w:rsidRPr="006E2614" w:rsidRDefault="006E2614" w:rsidP="00416BF2">
      <w:pPr>
        <w:spacing w:after="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0CA1">
        <w:rPr>
          <w:rFonts w:ascii="Times New Roman" w:hAnsi="Times New Roman" w:cs="Times New Roman"/>
          <w:color w:val="000000" w:themeColor="text1"/>
          <w:sz w:val="28"/>
          <w:szCs w:val="28"/>
        </w:rPr>
        <w:t>В 2017-2019 годах</w:t>
      </w:r>
      <w:r w:rsidRPr="006E26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продолжит действие подпрограмма «Ликвидация экологического ущерба от накопленного объема бытовых и промышленных отходов» однако, в связи с изменением законодательства в рамках данной подпрограммы в сфере охраны окружающей среды будут реализовываться только мероприятия по организации субботников.</w:t>
      </w:r>
    </w:p>
    <w:p w:rsidR="006E2614" w:rsidRPr="006E2614" w:rsidRDefault="006E2614" w:rsidP="00416BF2">
      <w:pPr>
        <w:spacing w:after="6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E26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Планируется реализация мероприятий по очистке муниципальных водных объектов и зеленых зон на территории городского округа, отлову безнадзорных животных, мероприятия по развитию экологического образования и просвещения, повышению уровня экологической культуры населения городского округ. </w:t>
      </w:r>
      <w:proofErr w:type="gramEnd"/>
    </w:p>
    <w:p w:rsidR="006E2614" w:rsidRPr="006E2614" w:rsidRDefault="006E2614" w:rsidP="00416BF2">
      <w:pPr>
        <w:spacing w:after="6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E26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решения задачи по формированию системы контроля и мониторинга за состоянием окружающей среды на территории городского округа планируется проведение оповещения населения через средства массовой информации, проведение экологических акций на территории городского округа. </w:t>
      </w:r>
      <w:proofErr w:type="gramEnd"/>
    </w:p>
    <w:p w:rsidR="00806C19" w:rsidRPr="009927A9" w:rsidRDefault="00806C19" w:rsidP="00806C19">
      <w:pPr>
        <w:pStyle w:val="1"/>
      </w:pPr>
      <w:bookmarkStart w:id="100" w:name="_Toc465927707"/>
      <w:r w:rsidRPr="009927A9">
        <w:t>2</w:t>
      </w:r>
      <w:r>
        <w:t>3</w:t>
      </w:r>
      <w:r w:rsidRPr="009927A9">
        <w:t>. Транспорт</w:t>
      </w:r>
      <w:r w:rsidR="000C6AE5">
        <w:t xml:space="preserve"> и дорожная деятельность</w:t>
      </w:r>
      <w:bookmarkEnd w:id="100"/>
    </w:p>
    <w:p w:rsidR="00806C19" w:rsidRPr="00806C19" w:rsidRDefault="00806C19" w:rsidP="00806C19"/>
    <w:p w:rsidR="00806C19" w:rsidRPr="00806C19" w:rsidRDefault="00806C19" w:rsidP="00806C19">
      <w:pPr>
        <w:tabs>
          <w:tab w:val="left" w:pos="723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t>Развитие дорожно-транспортной инфраструктуры является одной из стратегических задач</w:t>
      </w:r>
      <w:r w:rsidRPr="00806C1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806C19">
        <w:rPr>
          <w:rFonts w:ascii="Times New Roman" w:hAnsi="Times New Roman" w:cs="Times New Roman"/>
          <w:sz w:val="28"/>
          <w:szCs w:val="28"/>
        </w:rPr>
        <w:t>администрации городского округа.</w:t>
      </w:r>
    </w:p>
    <w:p w:rsidR="00806C19" w:rsidRPr="00806C19" w:rsidRDefault="00806C19" w:rsidP="00806C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t>Основными проблемами улично-дорожной сети городского круга являются:</w:t>
      </w:r>
    </w:p>
    <w:p w:rsidR="00806C19" w:rsidRPr="00806C19" w:rsidRDefault="00806C19" w:rsidP="00806C19">
      <w:pPr>
        <w:spacing w:after="0"/>
        <w:rPr>
          <w:rFonts w:ascii="Times New Roman" w:hAnsi="Times New Roman" w:cs="Times New Roman"/>
          <w:sz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t xml:space="preserve">- </w:t>
      </w:r>
      <w:r w:rsidRPr="00806C19">
        <w:rPr>
          <w:rFonts w:ascii="Times New Roman" w:hAnsi="Times New Roman" w:cs="Times New Roman"/>
          <w:sz w:val="28"/>
        </w:rPr>
        <w:t>недостаточно развитая система автомобильных дорог общего пользования, связывающих между собой различные районы городского округа;</w:t>
      </w:r>
    </w:p>
    <w:p w:rsidR="00806C19" w:rsidRPr="00806C19" w:rsidRDefault="00806C19" w:rsidP="00806C19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06C19">
        <w:rPr>
          <w:rFonts w:ascii="Times New Roman" w:eastAsia="Calibri" w:hAnsi="Times New Roman" w:cs="Times New Roman"/>
          <w:sz w:val="28"/>
          <w:szCs w:val="28"/>
        </w:rPr>
        <w:t>- высокий износ и низкая пропускная способность улично-дорожной сети, дефицит парковок;</w:t>
      </w:r>
    </w:p>
    <w:p w:rsidR="00806C19" w:rsidRPr="00806C19" w:rsidRDefault="00806C19" w:rsidP="00806C19">
      <w:pPr>
        <w:tabs>
          <w:tab w:val="left" w:pos="851"/>
        </w:tabs>
        <w:spacing w:after="0"/>
        <w:rPr>
          <w:rFonts w:ascii="Times New Roman" w:hAnsi="Times New Roman" w:cs="Times New Roman"/>
          <w:sz w:val="28"/>
        </w:rPr>
      </w:pPr>
      <w:r w:rsidRPr="00806C19">
        <w:rPr>
          <w:rFonts w:ascii="Times New Roman" w:hAnsi="Times New Roman" w:cs="Times New Roman"/>
          <w:sz w:val="28"/>
        </w:rPr>
        <w:t>-</w:t>
      </w:r>
      <w:r w:rsidRPr="00806C19">
        <w:rPr>
          <w:rFonts w:ascii="Times New Roman" w:hAnsi="Times New Roman" w:cs="Times New Roman"/>
          <w:sz w:val="28"/>
        </w:rPr>
        <w:tab/>
        <w:t>несоответствие планировочных параметров автомобильных дорог принятым категориям;</w:t>
      </w:r>
    </w:p>
    <w:p w:rsidR="00806C19" w:rsidRPr="00806C19" w:rsidRDefault="00806C19" w:rsidP="00806C19">
      <w:pPr>
        <w:tabs>
          <w:tab w:val="left" w:pos="851"/>
        </w:tabs>
        <w:spacing w:after="0"/>
        <w:rPr>
          <w:rFonts w:ascii="Times New Roman" w:hAnsi="Times New Roman" w:cs="Times New Roman"/>
          <w:sz w:val="28"/>
        </w:rPr>
      </w:pPr>
      <w:r w:rsidRPr="00806C19">
        <w:rPr>
          <w:rFonts w:ascii="Times New Roman" w:hAnsi="Times New Roman" w:cs="Times New Roman"/>
          <w:sz w:val="28"/>
        </w:rPr>
        <w:lastRenderedPageBreak/>
        <w:t xml:space="preserve">- невыполнение мероприятий по паспортизации и постановке на учет дорог местного значения общего пользования на территории </w:t>
      </w:r>
      <w:proofErr w:type="gramStart"/>
      <w:r w:rsidRPr="00806C19">
        <w:rPr>
          <w:rFonts w:ascii="Times New Roman" w:hAnsi="Times New Roman" w:cs="Times New Roman"/>
          <w:sz w:val="28"/>
        </w:rPr>
        <w:t>Петропавловск-Камчатского</w:t>
      </w:r>
      <w:proofErr w:type="gramEnd"/>
      <w:r w:rsidRPr="00806C19">
        <w:rPr>
          <w:rFonts w:ascii="Times New Roman" w:hAnsi="Times New Roman" w:cs="Times New Roman"/>
          <w:sz w:val="28"/>
        </w:rPr>
        <w:t xml:space="preserve"> городского округа;</w:t>
      </w:r>
    </w:p>
    <w:p w:rsidR="00806C19" w:rsidRPr="00806C19" w:rsidRDefault="00806C19" w:rsidP="00806C19">
      <w:pPr>
        <w:tabs>
          <w:tab w:val="left" w:pos="851"/>
        </w:tabs>
        <w:spacing w:after="0"/>
        <w:rPr>
          <w:rFonts w:ascii="Times New Roman" w:hAnsi="Times New Roman" w:cs="Times New Roman"/>
          <w:sz w:val="28"/>
        </w:rPr>
      </w:pPr>
      <w:r w:rsidRPr="00806C19">
        <w:rPr>
          <w:rFonts w:ascii="Times New Roman" w:eastAsia="Calibri" w:hAnsi="Times New Roman" w:cs="Times New Roman"/>
          <w:spacing w:val="-4"/>
          <w:sz w:val="28"/>
          <w:szCs w:val="28"/>
        </w:rPr>
        <w:t>- аварийное состояние или отсутствие сетей ливневой канализации.</w:t>
      </w:r>
    </w:p>
    <w:p w:rsidR="00EB2C19" w:rsidRPr="00EB2C19" w:rsidRDefault="00EB2C19" w:rsidP="00EB2C19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C19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В 2016 году планируется завершить </w:t>
      </w:r>
      <w:r w:rsidRPr="00EB2C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дорог (участков строящихся дорог) общей протяженностью 4,68 км:</w:t>
      </w:r>
    </w:p>
    <w:p w:rsidR="00EB2C19" w:rsidRPr="00EB2C19" w:rsidRDefault="00EB2C19" w:rsidP="00EB2C1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B2C19">
        <w:rPr>
          <w:rFonts w:ascii="Times New Roman" w:eastAsia="Calibri" w:hAnsi="Times New Roman" w:cs="Times New Roman"/>
          <w:sz w:val="28"/>
          <w:szCs w:val="28"/>
        </w:rPr>
        <w:t xml:space="preserve">- участка от ул. Чубарова до 2-го кольца магистрали общегородского значения от II кольца до улицы Кавказской, включая улицу Ломоносова (общая протяженностью 2,633 км); </w:t>
      </w:r>
    </w:p>
    <w:p w:rsidR="00EB2C19" w:rsidRPr="00EB2C19" w:rsidRDefault="00EB2C19" w:rsidP="00EB2C1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B2C19">
        <w:rPr>
          <w:rFonts w:ascii="Times New Roman" w:eastAsia="Calibri" w:hAnsi="Times New Roman" w:cs="Times New Roman"/>
          <w:sz w:val="28"/>
          <w:szCs w:val="28"/>
        </w:rPr>
        <w:t>- автомобильной дороги по ул. Ларина с устройством транспортной развязки и водопропускными сооружениями (общей протяженностью 1,096 км);</w:t>
      </w:r>
    </w:p>
    <w:p w:rsidR="00EB2C19" w:rsidRPr="00EB2C19" w:rsidRDefault="00EB2C19" w:rsidP="00EB2C1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B2C19">
        <w:rPr>
          <w:rFonts w:ascii="Times New Roman" w:eastAsia="Calibri" w:hAnsi="Times New Roman" w:cs="Times New Roman"/>
          <w:sz w:val="28"/>
          <w:szCs w:val="28"/>
        </w:rPr>
        <w:t xml:space="preserve">- участка дороги по ул. </w:t>
      </w:r>
      <w:proofErr w:type="spellStart"/>
      <w:r w:rsidRPr="00EB2C19">
        <w:rPr>
          <w:rFonts w:ascii="Times New Roman" w:eastAsia="Calibri" w:hAnsi="Times New Roman" w:cs="Times New Roman"/>
          <w:sz w:val="28"/>
          <w:szCs w:val="28"/>
        </w:rPr>
        <w:t>Вулканная</w:t>
      </w:r>
      <w:proofErr w:type="spellEnd"/>
      <w:r w:rsidRPr="00EB2C19">
        <w:rPr>
          <w:rFonts w:ascii="Times New Roman" w:eastAsia="Calibri" w:hAnsi="Times New Roman" w:cs="Times New Roman"/>
          <w:sz w:val="28"/>
          <w:szCs w:val="28"/>
        </w:rPr>
        <w:t xml:space="preserve"> магистральной улицы общегородского и районного значения ул. </w:t>
      </w:r>
      <w:proofErr w:type="spellStart"/>
      <w:r w:rsidRPr="00EB2C19">
        <w:rPr>
          <w:rFonts w:ascii="Times New Roman" w:eastAsia="Calibri" w:hAnsi="Times New Roman" w:cs="Times New Roman"/>
          <w:sz w:val="28"/>
          <w:szCs w:val="28"/>
        </w:rPr>
        <w:t>Вулканная</w:t>
      </w:r>
      <w:proofErr w:type="spellEnd"/>
      <w:r w:rsidRPr="00EB2C19">
        <w:rPr>
          <w:rFonts w:ascii="Times New Roman" w:eastAsia="Calibri" w:hAnsi="Times New Roman" w:cs="Times New Roman"/>
          <w:sz w:val="28"/>
          <w:szCs w:val="28"/>
        </w:rPr>
        <w:t xml:space="preserve"> - ул. Чубарова (от поста ГИБДД до пересечения с пр.</w:t>
      </w:r>
      <w:proofErr w:type="gramEnd"/>
      <w:r w:rsidRPr="00EB2C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B2C19">
        <w:rPr>
          <w:rFonts w:ascii="Times New Roman" w:eastAsia="Calibri" w:hAnsi="Times New Roman" w:cs="Times New Roman"/>
          <w:sz w:val="28"/>
          <w:szCs w:val="28"/>
        </w:rPr>
        <w:t>Победы);</w:t>
      </w:r>
      <w:proofErr w:type="gramEnd"/>
    </w:p>
    <w:p w:rsidR="00EB2C19" w:rsidRPr="00EB2C19" w:rsidRDefault="00EB2C19" w:rsidP="00EB2C1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B2C19">
        <w:rPr>
          <w:rFonts w:ascii="Times New Roman" w:eastAsia="Calibri" w:hAnsi="Times New Roman" w:cs="Times New Roman"/>
          <w:sz w:val="28"/>
          <w:szCs w:val="28"/>
        </w:rPr>
        <w:t>- автомобильной дороги районного значения от ул. Тушканова до пр.             К. Маркса (общей протяженностью 0,255 км).</w:t>
      </w:r>
    </w:p>
    <w:p w:rsidR="00806C19" w:rsidRPr="00806C19" w:rsidRDefault="00806C19" w:rsidP="00806C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t>Подготовлена проектная документация строительства:</w:t>
      </w:r>
    </w:p>
    <w:p w:rsidR="00806C19" w:rsidRPr="00806C19" w:rsidRDefault="00806C19" w:rsidP="00806C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t>- автомобильной дороги общегородского значения по ул. Ларина - пр. Циолковского;</w:t>
      </w:r>
    </w:p>
    <w:p w:rsidR="00806C19" w:rsidRPr="00806C19" w:rsidRDefault="00806C19" w:rsidP="00806C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6C19">
        <w:rPr>
          <w:rFonts w:ascii="Times New Roman" w:hAnsi="Times New Roman" w:cs="Times New Roman"/>
          <w:color w:val="7030A0"/>
          <w:sz w:val="28"/>
          <w:szCs w:val="28"/>
        </w:rPr>
        <w:t xml:space="preserve">- </w:t>
      </w:r>
      <w:r w:rsidRPr="00806C19">
        <w:rPr>
          <w:rFonts w:ascii="Times New Roman" w:hAnsi="Times New Roman" w:cs="Times New Roman"/>
          <w:sz w:val="28"/>
          <w:szCs w:val="28"/>
        </w:rPr>
        <w:t>автомобильная дорога по ул. Ларина (от перекрестка ул. Дальневосточной до магистральной улицы общегородского значения) от поста ГАИ до ул. Академика Королева. Проектно-сметная документация разработана и направлена на экспертизу.</w:t>
      </w:r>
    </w:p>
    <w:p w:rsidR="00806C19" w:rsidRPr="00806C19" w:rsidRDefault="00806C19" w:rsidP="00806C1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t>Кроме того, будет выполнен ремонт и восстановление дворовых территорий многоквартирных домов и проездов к ним общей площадью        201,0 тыс.</w:t>
      </w:r>
      <w:r w:rsidR="00622CB2">
        <w:rPr>
          <w:rFonts w:ascii="Times New Roman" w:hAnsi="Times New Roman" w:cs="Times New Roman"/>
          <w:sz w:val="28"/>
          <w:szCs w:val="28"/>
        </w:rPr>
        <w:t xml:space="preserve"> </w:t>
      </w:r>
      <w:r w:rsidRPr="00806C19">
        <w:rPr>
          <w:rFonts w:ascii="Times New Roman" w:hAnsi="Times New Roman" w:cs="Times New Roman"/>
          <w:sz w:val="28"/>
          <w:szCs w:val="28"/>
        </w:rPr>
        <w:t>кв. метров.</w:t>
      </w:r>
    </w:p>
    <w:p w:rsidR="00806C19" w:rsidRPr="00806C19" w:rsidRDefault="00806C19" w:rsidP="00806C19">
      <w:pPr>
        <w:pStyle w:val="afc"/>
        <w:ind w:firstLine="851"/>
        <w:jc w:val="both"/>
        <w:rPr>
          <w:b w:val="0"/>
          <w:szCs w:val="28"/>
        </w:rPr>
      </w:pPr>
      <w:r w:rsidRPr="00806C19">
        <w:rPr>
          <w:b w:val="0"/>
          <w:szCs w:val="28"/>
        </w:rPr>
        <w:t>Приоритетными направлениями развития дорожного хозяйства городского округа на среднесрочный период являются строительство:</w:t>
      </w:r>
    </w:p>
    <w:p w:rsidR="00EB2C19" w:rsidRPr="00EB2C19" w:rsidRDefault="00EB2C19" w:rsidP="00EB2C1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B2C19">
        <w:rPr>
          <w:rFonts w:ascii="Times New Roman" w:eastAsia="Calibri" w:hAnsi="Times New Roman" w:cs="Times New Roman"/>
          <w:sz w:val="28"/>
          <w:szCs w:val="28"/>
        </w:rPr>
        <w:t>- автомобильной дороги по ул. Ларина с устройством транспортной развязки и водопропускными сооружениями (от остановки "Кольцо по улице Ларина" до пересечения с магистральной улицей в районе перспективной застройки)</w:t>
      </w:r>
      <w:r w:rsidRPr="00EB2C19">
        <w:rPr>
          <w:rFonts w:ascii="Times New Roman" w:eastAsia="Calibri" w:hAnsi="Times New Roman" w:cs="Times New Roman"/>
          <w:b/>
          <w:color w:val="00B050"/>
          <w:sz w:val="28"/>
          <w:szCs w:val="28"/>
        </w:rPr>
        <w:t xml:space="preserve"> </w:t>
      </w:r>
      <w:r w:rsidRPr="00EB2C19">
        <w:rPr>
          <w:rFonts w:ascii="Times New Roman" w:eastAsia="Calibri" w:hAnsi="Times New Roman" w:cs="Times New Roman"/>
          <w:sz w:val="28"/>
          <w:szCs w:val="28"/>
        </w:rPr>
        <w:t>протяженностью 1,096 км. Завершение строительства планируется в 2018 году;</w:t>
      </w:r>
    </w:p>
    <w:p w:rsidR="00EB2C19" w:rsidRPr="00EB2C19" w:rsidRDefault="00EB2C19" w:rsidP="00EB2C1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B2C19">
        <w:rPr>
          <w:rFonts w:ascii="Times New Roman" w:eastAsia="Calibri" w:hAnsi="Times New Roman" w:cs="Times New Roman"/>
          <w:sz w:val="28"/>
          <w:szCs w:val="28"/>
        </w:rPr>
        <w:t xml:space="preserve">- автомобильной дороги районного значения по пр. </w:t>
      </w:r>
      <w:proofErr w:type="spellStart"/>
      <w:r w:rsidRPr="00EB2C19">
        <w:rPr>
          <w:rFonts w:ascii="Times New Roman" w:eastAsia="Calibri" w:hAnsi="Times New Roman" w:cs="Times New Roman"/>
          <w:sz w:val="28"/>
          <w:szCs w:val="28"/>
        </w:rPr>
        <w:t>Таранца</w:t>
      </w:r>
      <w:proofErr w:type="spellEnd"/>
      <w:r w:rsidRPr="00EB2C19">
        <w:rPr>
          <w:rFonts w:ascii="Times New Roman" w:eastAsia="Calibri" w:hAnsi="Times New Roman" w:cs="Times New Roman"/>
          <w:sz w:val="28"/>
          <w:szCs w:val="28"/>
        </w:rPr>
        <w:t xml:space="preserve"> с устройством транспортной развязки и водопропускными сооружениями (от перекрестка с ул. Ларина до пересечения с магистральной улицей в районе перспективной застройки) протяженностью 0,54 км; </w:t>
      </w:r>
    </w:p>
    <w:p w:rsidR="00EB2C19" w:rsidRPr="00EB2C19" w:rsidRDefault="00EB2C19" w:rsidP="00EB2C1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B2C19">
        <w:rPr>
          <w:rFonts w:ascii="Times New Roman" w:eastAsia="Calibri" w:hAnsi="Times New Roman" w:cs="Times New Roman"/>
          <w:sz w:val="28"/>
          <w:szCs w:val="28"/>
        </w:rPr>
        <w:t>- магистрали общегородского значения от II кольца до улицы Кавказской, включая улицу Ломоносова протяженностью 3,627 км.</w:t>
      </w:r>
      <w:r w:rsidRPr="00EB2C19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 </w:t>
      </w:r>
      <w:r w:rsidRPr="00EB2C19">
        <w:rPr>
          <w:rFonts w:ascii="Times New Roman" w:eastAsia="Calibri" w:hAnsi="Times New Roman" w:cs="Times New Roman"/>
          <w:sz w:val="28"/>
          <w:szCs w:val="28"/>
        </w:rPr>
        <w:t>Завершение строительства планируется в 2021 году.</w:t>
      </w:r>
      <w:r w:rsidRPr="00EB2C19">
        <w:rPr>
          <w:rFonts w:ascii="Times New Roman" w:eastAsia="Calibri" w:hAnsi="Times New Roman" w:cs="Times New Roman"/>
        </w:rPr>
        <w:t xml:space="preserve"> </w:t>
      </w:r>
      <w:r w:rsidRPr="00EB2C19">
        <w:rPr>
          <w:rFonts w:ascii="Times New Roman" w:eastAsia="Calibri" w:hAnsi="Times New Roman" w:cs="Times New Roman"/>
          <w:sz w:val="28"/>
        </w:rPr>
        <w:t>На</w:t>
      </w:r>
      <w:r w:rsidRPr="00EB2C19">
        <w:rPr>
          <w:rFonts w:ascii="Times New Roman" w:eastAsia="Calibri" w:hAnsi="Times New Roman" w:cs="Times New Roman"/>
        </w:rPr>
        <w:t xml:space="preserve"> </w:t>
      </w:r>
      <w:r w:rsidRPr="00EB2C19">
        <w:rPr>
          <w:rFonts w:ascii="Times New Roman" w:eastAsia="Calibri" w:hAnsi="Times New Roman" w:cs="Times New Roman"/>
          <w:sz w:val="28"/>
          <w:szCs w:val="28"/>
        </w:rPr>
        <w:t>участке дороги от ул. Чубарова до 2-го городского кольца протяженностью 1,504 км работы по строительству планируется завершить в 2018 году;</w:t>
      </w:r>
    </w:p>
    <w:p w:rsidR="00EB2C19" w:rsidRPr="00EB2C19" w:rsidRDefault="00EB2C19" w:rsidP="00EB2C1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B2C19">
        <w:rPr>
          <w:rFonts w:ascii="Times New Roman" w:eastAsia="Calibri" w:hAnsi="Times New Roman" w:cs="Times New Roman"/>
          <w:sz w:val="28"/>
          <w:szCs w:val="28"/>
        </w:rPr>
        <w:t>2018 - магистрали общегородского значения от поста ГАИ до улицы Академика Королева с развязкой в микрорайоне Северо-Восток протяженностью 3,927 км.</w:t>
      </w:r>
      <w:r w:rsidRPr="00EB2C19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 </w:t>
      </w:r>
      <w:r w:rsidRPr="00EB2C19">
        <w:rPr>
          <w:rFonts w:ascii="Times New Roman" w:eastAsia="Calibri" w:hAnsi="Times New Roman" w:cs="Times New Roman"/>
          <w:sz w:val="28"/>
          <w:szCs w:val="28"/>
        </w:rPr>
        <w:t>Завершение строительства планируется в 2021 году. Участок дороги от ул. Ларина до ул. Академика Королева протяженность 0,454 км - в 2018 году;</w:t>
      </w:r>
    </w:p>
    <w:p w:rsidR="00EB2C19" w:rsidRPr="00EB2C19" w:rsidRDefault="00EB2C19" w:rsidP="00EB2C19">
      <w:pPr>
        <w:spacing w:after="0"/>
        <w:rPr>
          <w:rFonts w:ascii="Times New Roman" w:eastAsia="Calibri" w:hAnsi="Times New Roman" w:cs="Times New Roman"/>
          <w:color w:val="7030A0"/>
          <w:sz w:val="28"/>
          <w:szCs w:val="28"/>
        </w:rPr>
      </w:pPr>
      <w:r w:rsidRPr="00EB2C19">
        <w:rPr>
          <w:rFonts w:ascii="Times New Roman" w:eastAsia="Calibri" w:hAnsi="Times New Roman" w:cs="Times New Roman"/>
          <w:sz w:val="28"/>
          <w:szCs w:val="28"/>
        </w:rPr>
        <w:lastRenderedPageBreak/>
        <w:t>- строительство автомобильной дороги общегородского значения улица Ларина - проспект Циолковского протяженностью 2,1 км. Завершение строительства планируется в 2021 году;</w:t>
      </w:r>
    </w:p>
    <w:p w:rsidR="00EB2C19" w:rsidRPr="00EB2C19" w:rsidRDefault="00EB2C19" w:rsidP="00EB2C1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EB2C19">
        <w:rPr>
          <w:rFonts w:ascii="Times New Roman" w:eastAsia="Calibri" w:hAnsi="Times New Roman" w:cs="Times New Roman"/>
          <w:sz w:val="28"/>
          <w:szCs w:val="28"/>
        </w:rPr>
        <w:t>- магистраль общегородского значения в районе 10 км - Сероглазка - 8 км</w:t>
      </w:r>
      <w:r w:rsidRPr="00EB2C19">
        <w:rPr>
          <w:rFonts w:ascii="Times New Roman" w:eastAsia="Calibri" w:hAnsi="Times New Roman" w:cs="Times New Roman"/>
        </w:rPr>
        <w:t xml:space="preserve"> </w:t>
      </w:r>
      <w:r w:rsidRPr="00EB2C19">
        <w:rPr>
          <w:rFonts w:ascii="Times New Roman" w:eastAsia="Calibri" w:hAnsi="Times New Roman" w:cs="Times New Roman"/>
          <w:sz w:val="28"/>
          <w:szCs w:val="28"/>
        </w:rPr>
        <w:t>протяженностью 4,2 км.</w:t>
      </w:r>
      <w:r w:rsidRPr="00EB2C19">
        <w:rPr>
          <w:rFonts w:ascii="Times New Roman" w:eastAsia="Calibri" w:hAnsi="Times New Roman" w:cs="Times New Roman"/>
          <w:color w:val="7030A0"/>
          <w:sz w:val="28"/>
          <w:szCs w:val="28"/>
        </w:rPr>
        <w:t xml:space="preserve"> </w:t>
      </w:r>
      <w:r w:rsidRPr="00EB2C19">
        <w:rPr>
          <w:rFonts w:ascii="Times New Roman" w:eastAsia="Calibri" w:hAnsi="Times New Roman" w:cs="Times New Roman"/>
          <w:sz w:val="28"/>
          <w:szCs w:val="28"/>
        </w:rPr>
        <w:t>Завершение строительства планируется в 2025 году.</w:t>
      </w:r>
    </w:p>
    <w:p w:rsidR="00806C19" w:rsidRPr="00806C19" w:rsidRDefault="00806C19" w:rsidP="00806C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2C19">
        <w:rPr>
          <w:rFonts w:ascii="Times New Roman" w:hAnsi="Times New Roman" w:cs="Times New Roman"/>
          <w:sz w:val="28"/>
          <w:szCs w:val="28"/>
        </w:rPr>
        <w:t>Строительство новых дорог в значительной степени поможет перераспределить направление грузопотоков, существенно обезопасить дорожное движение и в значительной мере улучшить в ряде районов городского округа экологическую ситуацию.</w:t>
      </w:r>
      <w:r w:rsidRPr="00806C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C19" w:rsidRPr="00806C19" w:rsidRDefault="00806C19" w:rsidP="00806C19">
      <w:pPr>
        <w:pStyle w:val="a6"/>
        <w:tabs>
          <w:tab w:val="left" w:pos="720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gramStart"/>
      <w:r w:rsidRPr="00806C19">
        <w:rPr>
          <w:rFonts w:ascii="Times New Roman" w:hAnsi="Times New Roman" w:cs="Times New Roman"/>
          <w:sz w:val="28"/>
          <w:szCs w:val="28"/>
        </w:rPr>
        <w:t>Наибольшее влияние на конфигурацию улично-дорожной сети и перераспределение транспортных потоков окажет ввод автомобильной дороги общегородского значения по улице Ларина - проспект Циолковского и   магистрали общегородского значения от поста ГАИ до улицы Академика Королева.</w:t>
      </w:r>
      <w:proofErr w:type="gramEnd"/>
      <w:r w:rsidRPr="00806C19">
        <w:rPr>
          <w:rFonts w:ascii="Times New Roman" w:hAnsi="Times New Roman" w:cs="Times New Roman"/>
          <w:sz w:val="28"/>
          <w:szCs w:val="28"/>
        </w:rPr>
        <w:t xml:space="preserve"> Указанные автодороги сформируют новое магистральное направление, которое позволит улучшить транспортную доступность микрорайонов Горизонт и Северо-Восток, увеличить пропускную способность улицы Академика Королева, проспекта Циолковского и Северо-Восточного шоссе, уменьшить автомобильные пробки на повороте на микрорайон Дачный и кольце на Новом рынке. С появлением нового направления изменятся </w:t>
      </w:r>
      <w:proofErr w:type="gramStart"/>
      <w:r w:rsidRPr="00806C19">
        <w:rPr>
          <w:rFonts w:ascii="Times New Roman" w:hAnsi="Times New Roman" w:cs="Times New Roman"/>
          <w:sz w:val="28"/>
          <w:szCs w:val="28"/>
        </w:rPr>
        <w:t>траектории движения отдельных</w:t>
      </w:r>
      <w:proofErr w:type="gramEnd"/>
      <w:r w:rsidRPr="00806C19">
        <w:rPr>
          <w:rFonts w:ascii="Times New Roman" w:hAnsi="Times New Roman" w:cs="Times New Roman"/>
          <w:sz w:val="28"/>
          <w:szCs w:val="28"/>
        </w:rPr>
        <w:t xml:space="preserve"> маршрутов городского транспорта.</w:t>
      </w:r>
    </w:p>
    <w:p w:rsidR="00806C19" w:rsidRPr="00806C19" w:rsidRDefault="00806C19" w:rsidP="00806C19">
      <w:pPr>
        <w:pStyle w:val="a6"/>
        <w:tabs>
          <w:tab w:val="left" w:pos="720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t xml:space="preserve">Строительство магистрали общегородского значения в районе 10 км - Сероглазка - 8 км и реконструкция автомобильной дороги местного значения от ул. Автомобилистов до п. Сероглазка увеличит транспортную доступность микрорайона и позволит значительно улучшить транспортную инфраструктуру существующей застройки по улицам Флотской, Якорной и перспективного района в 110 квартале. </w:t>
      </w:r>
    </w:p>
    <w:p w:rsidR="00806C19" w:rsidRPr="00806C19" w:rsidRDefault="00806C19" w:rsidP="00806C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t>Основной целью администрации городского округа в системе общественного транспорта является</w:t>
      </w:r>
      <w:r w:rsidRPr="00806C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C19">
        <w:rPr>
          <w:rFonts w:ascii="Times New Roman" w:hAnsi="Times New Roman" w:cs="Times New Roman"/>
          <w:sz w:val="28"/>
          <w:szCs w:val="28"/>
        </w:rPr>
        <w:t>повышение качества услуг по пассажирским перевозкам в городском округе.</w:t>
      </w:r>
    </w:p>
    <w:p w:rsidR="00853DDD" w:rsidRDefault="00806C19" w:rsidP="00806C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t>В настоящее время протяженность линий автобусного пути составляет 1 148 км. Число маршрутов 39 единиц, их обслуживает 194 единицы подвижного состава автобусов.</w:t>
      </w:r>
    </w:p>
    <w:p w:rsidR="00806C19" w:rsidRPr="00806C19" w:rsidRDefault="00853DDD" w:rsidP="00806C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06C19" w:rsidRPr="00806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прогнозируемом периоде</w:t>
      </w:r>
      <w:r w:rsidR="00806C19" w:rsidRPr="00806C19">
        <w:rPr>
          <w:rFonts w:ascii="Times New Roman" w:hAnsi="Times New Roman" w:cs="Times New Roman"/>
          <w:sz w:val="28"/>
          <w:szCs w:val="28"/>
        </w:rPr>
        <w:t xml:space="preserve"> изменение эксплуатационной протяженности пассажирских маршрутов и количества транспортных средств, осущес</w:t>
      </w:r>
      <w:r>
        <w:rPr>
          <w:rFonts w:ascii="Times New Roman" w:hAnsi="Times New Roman" w:cs="Times New Roman"/>
          <w:sz w:val="28"/>
          <w:szCs w:val="28"/>
        </w:rPr>
        <w:t>твляющих пассажирские перевозки,</w:t>
      </w:r>
      <w:r w:rsidRPr="00853DDD">
        <w:rPr>
          <w:rFonts w:ascii="Times New Roman" w:hAnsi="Times New Roman" w:cs="Times New Roman"/>
          <w:sz w:val="28"/>
          <w:szCs w:val="28"/>
        </w:rPr>
        <w:t xml:space="preserve"> </w:t>
      </w:r>
      <w:r w:rsidRPr="00806C19">
        <w:rPr>
          <w:rFonts w:ascii="Times New Roman" w:hAnsi="Times New Roman" w:cs="Times New Roman"/>
          <w:sz w:val="28"/>
          <w:szCs w:val="28"/>
        </w:rPr>
        <w:t>не планируется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6C19" w:rsidRPr="00806C19" w:rsidRDefault="00806C19" w:rsidP="00806C1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t xml:space="preserve">В 2015 году в целях обеспечения безопасности на дорогах </w:t>
      </w:r>
      <w:proofErr w:type="gramStart"/>
      <w:r w:rsidRPr="00806C19">
        <w:rPr>
          <w:rFonts w:ascii="Times New Roman" w:hAnsi="Times New Roman" w:cs="Times New Roman"/>
          <w:sz w:val="28"/>
          <w:szCs w:val="28"/>
        </w:rPr>
        <w:t>Петропавловск-Камчатского</w:t>
      </w:r>
      <w:proofErr w:type="gramEnd"/>
      <w:r w:rsidRPr="00806C19">
        <w:rPr>
          <w:rFonts w:ascii="Times New Roman" w:hAnsi="Times New Roman" w:cs="Times New Roman"/>
          <w:sz w:val="28"/>
          <w:szCs w:val="28"/>
        </w:rPr>
        <w:t xml:space="preserve"> городского округа действовала подпрограмма «Организация и безопасность дорожного движения» муниципальной программы «Развитие транспортной системы Петропавловск-Камчатского городского округа»..</w:t>
      </w:r>
    </w:p>
    <w:p w:rsidR="00806C19" w:rsidRPr="00806C19" w:rsidRDefault="00806C19" w:rsidP="00806C1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t xml:space="preserve">В отчетном году проводились мероприятия по установке дорожных знаков (295 единиц), нанесению дорожной разметки, модернизация автоматических систем управления дорожным движением и светофорных объектов, в том числе на пр. Победы и на ул. Чубарова, велось обустройство наиболее опасных участков улично-дорожной сети дорожными ограждениями, протяженность которых составила 295 погонных метра, обустройство улично-дорожной сети пешеходными ограждениями перильного типа (1 492 погонных </w:t>
      </w:r>
      <w:r w:rsidRPr="00806C19">
        <w:rPr>
          <w:rFonts w:ascii="Times New Roman" w:hAnsi="Times New Roman" w:cs="Times New Roman"/>
          <w:sz w:val="28"/>
          <w:szCs w:val="28"/>
        </w:rPr>
        <w:lastRenderedPageBreak/>
        <w:t>метра ограждений). Работы по установке искусственных неровностей</w:t>
      </w:r>
      <w:r w:rsidR="00853DDD">
        <w:rPr>
          <w:rFonts w:ascii="Times New Roman" w:hAnsi="Times New Roman" w:cs="Times New Roman"/>
          <w:sz w:val="28"/>
          <w:szCs w:val="28"/>
        </w:rPr>
        <w:t>,</w:t>
      </w:r>
      <w:r w:rsidRPr="00806C19">
        <w:rPr>
          <w:rFonts w:ascii="Times New Roman" w:hAnsi="Times New Roman" w:cs="Times New Roman"/>
          <w:sz w:val="28"/>
          <w:szCs w:val="28"/>
        </w:rPr>
        <w:t xml:space="preserve"> также выполнены в полном объеме.</w:t>
      </w:r>
    </w:p>
    <w:p w:rsidR="00806C19" w:rsidRPr="00806C19" w:rsidRDefault="00806C19" w:rsidP="00806C19">
      <w:pPr>
        <w:rPr>
          <w:rFonts w:ascii="Times New Roman" w:hAnsi="Times New Roman" w:cs="Times New Roman"/>
          <w:sz w:val="28"/>
          <w:szCs w:val="28"/>
        </w:rPr>
      </w:pPr>
      <w:r w:rsidRPr="00806C19">
        <w:rPr>
          <w:rFonts w:ascii="Times New Roman" w:hAnsi="Times New Roman" w:cs="Times New Roman"/>
          <w:sz w:val="28"/>
          <w:szCs w:val="28"/>
        </w:rPr>
        <w:t xml:space="preserve">Ежегодно данные мероприятия исполняются для совершенствования организации движения транспорта и пешеходов в городском округе. В 2015 году и прогнозном периоде работа в данном направлении продолжится в соответствии с мероприятиями подпрограмма «Организация и безопасность дорожного движения». </w:t>
      </w:r>
      <w:r w:rsidRPr="00806C19">
        <w:rPr>
          <w:rFonts w:ascii="Times New Roman" w:hAnsi="Times New Roman" w:cs="Times New Roman"/>
          <w:sz w:val="28"/>
          <w:szCs w:val="28"/>
        </w:rPr>
        <w:tab/>
      </w:r>
    </w:p>
    <w:p w:rsidR="006E2614" w:rsidRDefault="006E2614" w:rsidP="00853DDD">
      <w:pPr>
        <w:pStyle w:val="1"/>
        <w:spacing w:before="120" w:after="120"/>
      </w:pPr>
      <w:bookmarkStart w:id="101" w:name="_Toc465927708"/>
      <w:r w:rsidRPr="006E2614">
        <w:t>2</w:t>
      </w:r>
      <w:r w:rsidR="00590CA1">
        <w:t>4</w:t>
      </w:r>
      <w:r w:rsidRPr="006E2614">
        <w:t>. Связь</w:t>
      </w:r>
      <w:bookmarkEnd w:id="101"/>
    </w:p>
    <w:p w:rsidR="006E2614" w:rsidRPr="006E2614" w:rsidRDefault="006E2614" w:rsidP="00416BF2">
      <w:pPr>
        <w:pStyle w:val="a8"/>
        <w:spacing w:before="0" w:beforeAutospacing="0" w:after="0"/>
        <w:rPr>
          <w:spacing w:val="-5"/>
          <w:sz w:val="28"/>
          <w:szCs w:val="28"/>
        </w:rPr>
      </w:pPr>
      <w:proofErr w:type="gramStart"/>
      <w:r w:rsidRPr="006E2614">
        <w:rPr>
          <w:spacing w:val="-5"/>
          <w:sz w:val="28"/>
          <w:szCs w:val="28"/>
        </w:rPr>
        <w:t xml:space="preserve">На протяжении последних лет развитие рынка связи в городском округе и по Камчатскому краю в целом отставало по сравнению с другими регионами Российской Федерации, подобное неравенство в ближайшей перспективе должно быть устранено, это связано с реализацией проекта по строительству </w:t>
      </w:r>
      <w:r w:rsidRPr="006E2614">
        <w:rPr>
          <w:sz w:val="28"/>
          <w:szCs w:val="28"/>
        </w:rPr>
        <w:t>подводной волоконно-оптической линии связи (ПВОЛС) «Камчатка – Сахалин – Магадан».</w:t>
      </w:r>
      <w:proofErr w:type="gramEnd"/>
      <w:r w:rsidRPr="006E2614">
        <w:rPr>
          <w:sz w:val="28"/>
          <w:szCs w:val="28"/>
        </w:rPr>
        <w:t xml:space="preserve"> Работы были начаты в 2014 году и по состоянию на 11 августа 2016 года</w:t>
      </w:r>
      <w:r w:rsidRPr="006E2614">
        <w:rPr>
          <w:spacing w:val="-5"/>
          <w:sz w:val="28"/>
          <w:szCs w:val="28"/>
        </w:rPr>
        <w:t xml:space="preserve"> «Ростелеком» завершил строительные наземные и глубоководные работы по проекту на участке Сахалин-Камчатка и готовится к приемо-сдаточным испытаниям. Одновременно ведется подготовка необходимого пакета документов для согласования в </w:t>
      </w:r>
      <w:proofErr w:type="spellStart"/>
      <w:r w:rsidRPr="006E2614">
        <w:rPr>
          <w:spacing w:val="-5"/>
          <w:sz w:val="28"/>
          <w:szCs w:val="28"/>
        </w:rPr>
        <w:t>Ростехнадзоре</w:t>
      </w:r>
      <w:proofErr w:type="spellEnd"/>
      <w:r w:rsidRPr="006E2614">
        <w:rPr>
          <w:spacing w:val="-5"/>
          <w:sz w:val="28"/>
          <w:szCs w:val="28"/>
        </w:rPr>
        <w:t xml:space="preserve"> и прохождения экспертизы.</w:t>
      </w:r>
    </w:p>
    <w:p w:rsidR="006E2614" w:rsidRPr="006E2614" w:rsidRDefault="006E2614" w:rsidP="00416BF2">
      <w:pPr>
        <w:pStyle w:val="a8"/>
        <w:spacing w:before="0" w:beforeAutospacing="0" w:after="0"/>
        <w:rPr>
          <w:spacing w:val="-5"/>
          <w:sz w:val="28"/>
          <w:szCs w:val="28"/>
        </w:rPr>
      </w:pPr>
      <w:r w:rsidRPr="006E2614">
        <w:rPr>
          <w:spacing w:val="-5"/>
          <w:sz w:val="28"/>
          <w:szCs w:val="28"/>
        </w:rPr>
        <w:t>В настоящее время прибрежная телекоммуникационная инфраструктура на Камчатке готова полностью. На станции, где установлено основное технологическое оборудование передачи данных, началась подготовка к пусконаладочным испытаниям и дальнейшей эксплуатации.</w:t>
      </w:r>
    </w:p>
    <w:p w:rsidR="006E2614" w:rsidRPr="006E2614" w:rsidRDefault="006E2614" w:rsidP="00416BF2">
      <w:pPr>
        <w:pStyle w:val="a8"/>
        <w:spacing w:before="0" w:beforeAutospacing="0" w:after="0"/>
        <w:rPr>
          <w:spacing w:val="-5"/>
          <w:sz w:val="28"/>
          <w:szCs w:val="28"/>
        </w:rPr>
      </w:pPr>
      <w:r w:rsidRPr="006E2614">
        <w:rPr>
          <w:spacing w:val="-5"/>
          <w:sz w:val="28"/>
          <w:szCs w:val="28"/>
        </w:rPr>
        <w:t xml:space="preserve">Подводный оптический кабель связал г. Оха Сахалинской области и п. Усть-Большерецк Камчатского края, почти 900 км оптического кабеля было проложено по дну Охотского моря, 22 июля был завершен монтаж финальной муфты, которая соединила наземную и подводную части ВОЛС. Потенциально 90 % населения Камчатки имеют возможность доступа к услугам связи </w:t>
      </w:r>
      <w:proofErr w:type="gramStart"/>
      <w:r w:rsidRPr="006E2614">
        <w:rPr>
          <w:spacing w:val="-5"/>
          <w:sz w:val="28"/>
          <w:szCs w:val="28"/>
        </w:rPr>
        <w:t>через</w:t>
      </w:r>
      <w:proofErr w:type="gramEnd"/>
      <w:r w:rsidRPr="006E2614">
        <w:rPr>
          <w:spacing w:val="-5"/>
          <w:sz w:val="28"/>
          <w:szCs w:val="28"/>
        </w:rPr>
        <w:t xml:space="preserve"> новую ВОЛС</w:t>
      </w:r>
    </w:p>
    <w:p w:rsidR="006E2614" w:rsidRPr="006E2614" w:rsidRDefault="006E2614" w:rsidP="00416BF2">
      <w:pPr>
        <w:pStyle w:val="a8"/>
        <w:spacing w:before="0" w:beforeAutospacing="0" w:after="0"/>
        <w:rPr>
          <w:sz w:val="28"/>
          <w:szCs w:val="28"/>
        </w:rPr>
      </w:pPr>
      <w:r w:rsidRPr="006E2614">
        <w:rPr>
          <w:spacing w:val="-5"/>
          <w:sz w:val="28"/>
          <w:szCs w:val="28"/>
        </w:rPr>
        <w:t xml:space="preserve"> «Ростелеком» заблаговременно начал работы по подготовке районов Камчатки к приходу магистральной оптической линии связи. Компания модернизирует линии связи на полуострове, заменяя технологически устаревшие медные кабельные сети </w:t>
      </w:r>
      <w:proofErr w:type="gramStart"/>
      <w:r w:rsidRPr="006E2614">
        <w:rPr>
          <w:spacing w:val="-5"/>
          <w:sz w:val="28"/>
          <w:szCs w:val="28"/>
        </w:rPr>
        <w:t>на</w:t>
      </w:r>
      <w:proofErr w:type="gramEnd"/>
      <w:r w:rsidRPr="006E2614">
        <w:rPr>
          <w:spacing w:val="-5"/>
          <w:sz w:val="28"/>
          <w:szCs w:val="28"/>
        </w:rPr>
        <w:t xml:space="preserve"> современные оптические. Новые внутризоновые сети связи строятся по технологии </w:t>
      </w:r>
      <w:proofErr w:type="spellStart"/>
      <w:r w:rsidRPr="006E2614">
        <w:rPr>
          <w:spacing w:val="-5"/>
          <w:sz w:val="28"/>
          <w:szCs w:val="28"/>
        </w:rPr>
        <w:t>MetroEthernet</w:t>
      </w:r>
      <w:proofErr w:type="spellEnd"/>
      <w:r w:rsidRPr="006E2614">
        <w:rPr>
          <w:spacing w:val="-5"/>
          <w:sz w:val="28"/>
          <w:szCs w:val="28"/>
        </w:rPr>
        <w:t xml:space="preserve"> («оптика в дом»). На сегодняшний день уже построены волоконно-оптические линии, соединяющие Петропавловск-Камчатский, Елизово, </w:t>
      </w:r>
      <w:proofErr w:type="spellStart"/>
      <w:r w:rsidRPr="006E2614">
        <w:rPr>
          <w:spacing w:val="-5"/>
          <w:sz w:val="28"/>
          <w:szCs w:val="28"/>
        </w:rPr>
        <w:t>Вилючинск</w:t>
      </w:r>
      <w:proofErr w:type="spellEnd"/>
      <w:r w:rsidRPr="006E2614">
        <w:rPr>
          <w:spacing w:val="-5"/>
          <w:sz w:val="28"/>
          <w:szCs w:val="28"/>
        </w:rPr>
        <w:t xml:space="preserve">, Мильково и Усть-Большерецк, а также населенные пункты вдоль данных направлений. </w:t>
      </w:r>
      <w:r w:rsidRPr="006E2614">
        <w:rPr>
          <w:sz w:val="28"/>
          <w:szCs w:val="28"/>
        </w:rPr>
        <w:t xml:space="preserve">Партнером «Ростелекома» для поставки оборудования и выполнения работ при строительстве подводной части ВОЛС выступила компания </w:t>
      </w:r>
      <w:proofErr w:type="spellStart"/>
      <w:r w:rsidRPr="006E2614">
        <w:rPr>
          <w:sz w:val="28"/>
          <w:szCs w:val="28"/>
        </w:rPr>
        <w:t>Huawei</w:t>
      </w:r>
      <w:proofErr w:type="spellEnd"/>
      <w:r w:rsidRPr="006E2614">
        <w:rPr>
          <w:sz w:val="28"/>
          <w:szCs w:val="28"/>
        </w:rPr>
        <w:t>, для которой это первый проект по прокладке подводной кабельной системы в России.</w:t>
      </w:r>
    </w:p>
    <w:p w:rsidR="006E2614" w:rsidRPr="006E2614" w:rsidRDefault="006E2614" w:rsidP="00416BF2">
      <w:pPr>
        <w:pStyle w:val="a8"/>
        <w:spacing w:before="0" w:beforeAutospacing="0" w:after="0"/>
        <w:rPr>
          <w:sz w:val="28"/>
          <w:szCs w:val="28"/>
        </w:rPr>
      </w:pPr>
      <w:r w:rsidRPr="006E2614">
        <w:rPr>
          <w:sz w:val="28"/>
          <w:szCs w:val="28"/>
        </w:rPr>
        <w:t xml:space="preserve">Тенденции </w:t>
      </w:r>
      <w:proofErr w:type="gramStart"/>
      <w:r w:rsidRPr="006E2614">
        <w:rPr>
          <w:sz w:val="28"/>
          <w:szCs w:val="28"/>
        </w:rPr>
        <w:t>развития рынка услуг связи</w:t>
      </w:r>
      <w:proofErr w:type="gramEnd"/>
      <w:r w:rsidRPr="006E2614">
        <w:rPr>
          <w:sz w:val="28"/>
          <w:szCs w:val="28"/>
        </w:rPr>
        <w:t xml:space="preserve"> имеет общие тенденции с другими регионами Российской Федерации.</w:t>
      </w:r>
    </w:p>
    <w:p w:rsidR="006E2614" w:rsidRPr="006E2614" w:rsidRDefault="006E2614" w:rsidP="00416BF2">
      <w:pPr>
        <w:pStyle w:val="a8"/>
        <w:spacing w:before="0" w:beforeAutospacing="0" w:after="0"/>
        <w:rPr>
          <w:sz w:val="28"/>
          <w:szCs w:val="28"/>
        </w:rPr>
      </w:pPr>
      <w:r w:rsidRPr="006E2614">
        <w:rPr>
          <w:sz w:val="28"/>
          <w:szCs w:val="28"/>
        </w:rPr>
        <w:t xml:space="preserve">Стационарная связь остается наименее востребованной услугой. Основными причинами этого являются: ограниченная область использования стационарных телефонов, и относительная дороговизна услуг стационарной связи. В сравнении с тарифами операторов сотовой связи цены на оказание услуг стационарной связи практически одинаковы. </w:t>
      </w:r>
    </w:p>
    <w:p w:rsidR="006E2614" w:rsidRPr="006E2614" w:rsidRDefault="006E2614" w:rsidP="00416BF2">
      <w:pPr>
        <w:pStyle w:val="a8"/>
        <w:spacing w:before="0" w:beforeAutospacing="0" w:after="0"/>
        <w:rPr>
          <w:sz w:val="28"/>
          <w:szCs w:val="28"/>
        </w:rPr>
      </w:pPr>
      <w:r w:rsidRPr="006E2614">
        <w:rPr>
          <w:sz w:val="28"/>
          <w:szCs w:val="28"/>
        </w:rPr>
        <w:t>Наибольшую долю на рынке, как и в предыдущие года занимает сотовая связь и интернет в 2015 году никаких изменений в составе операторов, предоставляющих услуги сотовой связи в Камчатском крае, не произошло. По-</w:t>
      </w:r>
      <w:r w:rsidRPr="006E2614">
        <w:rPr>
          <w:sz w:val="28"/>
          <w:szCs w:val="28"/>
        </w:rPr>
        <w:lastRenderedPageBreak/>
        <w:t>прежнему, услуги осуществляет 5 операторов: открытое акционерное общество "</w:t>
      </w:r>
      <w:proofErr w:type="gramStart"/>
      <w:r w:rsidRPr="006E2614">
        <w:rPr>
          <w:sz w:val="28"/>
          <w:szCs w:val="28"/>
        </w:rPr>
        <w:t>Вымпел-Коммуникации</w:t>
      </w:r>
      <w:proofErr w:type="gramEnd"/>
      <w:r w:rsidRPr="006E2614">
        <w:rPr>
          <w:sz w:val="28"/>
          <w:szCs w:val="28"/>
        </w:rPr>
        <w:t>" (торговая марка "Билайн"), открытое акционерное общество "МТС", открытое акционерное общество "МегаФон", открытое акционерное общество "Дальсвязь", международная телекоммуникационная компания "Теле-2"</w:t>
      </w:r>
    </w:p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E2614">
        <w:rPr>
          <w:rFonts w:ascii="Times New Roman" w:hAnsi="Times New Roman" w:cs="Times New Roman"/>
          <w:sz w:val="28"/>
          <w:szCs w:val="28"/>
        </w:rPr>
        <w:t>В 2015 объем оказанных платных услуг связи населению городского округа составил 4 227,372 млн. руб. это на 1,13 % меньше чем в 2014 году, это первое снижение показателя за последние 5 лет.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 xml:space="preserve"> Объем оказанных платных услуг связи на душу населения составил 23 357 рублей. В прогнозируемом периоде новым толчком к увеличению объёма услуг в данном сегменте послужит </w:t>
      </w:r>
      <w:proofErr w:type="gramStart"/>
      <w:r w:rsidRPr="006E2614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 xml:space="preserve"> подводная ВОЛС, в 2017 – 2019 году планируется увеличение данного показателя. </w:t>
      </w:r>
    </w:p>
    <w:p w:rsidR="006E2614" w:rsidRDefault="006E2614" w:rsidP="00806C19">
      <w:pPr>
        <w:pStyle w:val="1"/>
      </w:pPr>
      <w:bookmarkStart w:id="102" w:name="_Toc465927709"/>
      <w:r w:rsidRPr="006E2614">
        <w:t>2</w:t>
      </w:r>
      <w:r w:rsidR="00945293">
        <w:t>5</w:t>
      </w:r>
      <w:r w:rsidRPr="006E2614">
        <w:t>. Туризм</w:t>
      </w:r>
      <w:bookmarkEnd w:id="102"/>
    </w:p>
    <w:p w:rsidR="00806C19" w:rsidRPr="00806C19" w:rsidRDefault="00806C19" w:rsidP="00806C19"/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развития экономики в Камчатском крае и в </w:t>
      </w:r>
      <w:proofErr w:type="gramStart"/>
      <w:r w:rsidRPr="006E2614">
        <w:rPr>
          <w:rFonts w:ascii="Times New Roman" w:hAnsi="Times New Roman" w:cs="Times New Roman"/>
          <w:sz w:val="28"/>
          <w:szCs w:val="28"/>
        </w:rPr>
        <w:t>Петропавловск-Камчатском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 xml:space="preserve"> городском округе в частности, является развитие въездного и внутреннего туризма.  </w:t>
      </w:r>
    </w:p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 xml:space="preserve">Существующая инфраструктура туризма в </w:t>
      </w:r>
      <w:proofErr w:type="gramStart"/>
      <w:r w:rsidRPr="006E2614">
        <w:rPr>
          <w:rFonts w:ascii="Times New Roman" w:hAnsi="Times New Roman" w:cs="Times New Roman"/>
          <w:sz w:val="28"/>
          <w:szCs w:val="28"/>
        </w:rPr>
        <w:t>Петропавловск-Камчатском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 xml:space="preserve"> городском округе представлена коллективными средствами размещения. Число номеров во всех коллективных средствах размещения (далее – КСР) в 2015 году составляло 409 единиц, из них высшей категории 32 единицы. За последние 5 лет количество КСР увеличилось на 44 единицы, (с 365 единиц). Число размещенных лиц в 2015 году составило 27 848 человек, это меньше на 8,1 % чем в 2014 году. Основное количество </w:t>
      </w:r>
      <w:proofErr w:type="gramStart"/>
      <w:r w:rsidRPr="006E2614">
        <w:rPr>
          <w:rFonts w:ascii="Times New Roman" w:hAnsi="Times New Roman" w:cs="Times New Roman"/>
          <w:sz w:val="28"/>
          <w:szCs w:val="28"/>
        </w:rPr>
        <w:t>туристов, размещенных в КСР прибывает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 xml:space="preserve"> на территорию городского округа с целью провести отдых - 18 080 человек, с целью ведения профессиональной деятельности - 5 476 человек.  </w:t>
      </w:r>
    </w:p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>В сфере развития туризма можно выделить следующие проблемы:</w:t>
      </w:r>
    </w:p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>- несоответствие цены и качества в местах размещения туристов;</w:t>
      </w:r>
    </w:p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>- низкий уровень благоустройства города;</w:t>
      </w:r>
    </w:p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E2614">
        <w:rPr>
          <w:rFonts w:ascii="Times New Roman" w:hAnsi="Times New Roman" w:cs="Times New Roman"/>
          <w:sz w:val="28"/>
          <w:szCs w:val="28"/>
        </w:rPr>
        <w:t>нехватка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 xml:space="preserve"> организаций в сфере гостиничного бизнеса;</w:t>
      </w:r>
    </w:p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 xml:space="preserve">- высокая стоимость транспортного сообщения с другими странами и регионами. </w:t>
      </w:r>
    </w:p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>В 2014 году на территории городского округа вели свою деятельность 58 туристских фирм (ввиду того, что в 2015 году турфирмы не предоставляли отчетность, сведений об основных показателях их деятельности нет).</w:t>
      </w:r>
    </w:p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E2614">
        <w:rPr>
          <w:rFonts w:ascii="Times New Roman" w:hAnsi="Times New Roman" w:cs="Times New Roman"/>
          <w:sz w:val="28"/>
          <w:szCs w:val="28"/>
        </w:rPr>
        <w:t>Спектр продуктов, предлагаемый жителям и гостям городского округа, разнообразен, кроме предоставления услуг по организации отдыха за пределами Российской Федерации и на её территории, имеется большой выбор экскурсий и туров, которые проводятся непосредственно на территории Петропавловск-Камчатского городского округа и за его пределами, в настоящий момент турфирмы могут предоставить такие виды туристских услуг как: пешеходные туры, культурно-познавательные (сити туры) и экологические туры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 xml:space="preserve">, историко-культурные и конные туры, горнолыжные и сноубордические туры, катание на собачьих упряжках, сафари на снегоходах, морская и спортивная рыбалка на реках, морские прогулки и дайвинг. </w:t>
      </w:r>
    </w:p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2614">
        <w:rPr>
          <w:rFonts w:ascii="Times New Roman" w:hAnsi="Times New Roman" w:cs="Times New Roman"/>
          <w:sz w:val="28"/>
          <w:szCs w:val="28"/>
        </w:rPr>
        <w:t xml:space="preserve">Для привлечения внимания туристов и потенциальных инвесторов в настоящее время ведется работа над проектом территории опережающего социально-экономического развития «Камчатка» (далее – ТОСЭР «Камчатка»). </w:t>
      </w:r>
      <w:proofErr w:type="gramStart"/>
      <w:r w:rsidRPr="006E2614">
        <w:rPr>
          <w:rFonts w:ascii="Times New Roman" w:hAnsi="Times New Roman" w:cs="Times New Roman"/>
          <w:sz w:val="28"/>
          <w:szCs w:val="28"/>
        </w:rPr>
        <w:lastRenderedPageBreak/>
        <w:t>Согласно Стратегии развития туризма в Камчатском крае на период до 2025 года, утвержденной постановлением Правительства Камчатс</w:t>
      </w:r>
      <w:r w:rsidR="00416BF2">
        <w:rPr>
          <w:rFonts w:ascii="Times New Roman" w:hAnsi="Times New Roman" w:cs="Times New Roman"/>
          <w:sz w:val="28"/>
          <w:szCs w:val="28"/>
        </w:rPr>
        <w:t>кого края от 02.03.2011</w:t>
      </w:r>
      <w:r w:rsidRPr="006E2614">
        <w:rPr>
          <w:rFonts w:ascii="Times New Roman" w:hAnsi="Times New Roman" w:cs="Times New Roman"/>
          <w:sz w:val="28"/>
          <w:szCs w:val="28"/>
        </w:rPr>
        <w:t xml:space="preserve"> № 122-РП, с учетом ориентации на </w:t>
      </w:r>
      <w:proofErr w:type="spellStart"/>
      <w:r w:rsidRPr="006E2614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6E2614">
        <w:rPr>
          <w:rFonts w:ascii="Times New Roman" w:hAnsi="Times New Roman" w:cs="Times New Roman"/>
          <w:sz w:val="28"/>
          <w:szCs w:val="28"/>
        </w:rPr>
        <w:t>-кластерный подход к развитию территории, туристско-рекреационный кластер, основой для которого станет природно-рекреационный потенциал Камчатки, на сегодняшний день считается одним из приоритетов стратегического развития Камчатского края.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 xml:space="preserve"> Развитие </w:t>
      </w:r>
      <w:proofErr w:type="spellStart"/>
      <w:r w:rsidRPr="006E2614">
        <w:rPr>
          <w:rFonts w:ascii="Times New Roman" w:hAnsi="Times New Roman" w:cs="Times New Roman"/>
          <w:sz w:val="28"/>
          <w:szCs w:val="28"/>
        </w:rPr>
        <w:t>туристко</w:t>
      </w:r>
      <w:proofErr w:type="spellEnd"/>
      <w:r w:rsidRPr="006E2614">
        <w:rPr>
          <w:rFonts w:ascii="Times New Roman" w:hAnsi="Times New Roman" w:cs="Times New Roman"/>
          <w:sz w:val="28"/>
          <w:szCs w:val="28"/>
        </w:rPr>
        <w:t>-рекреационных кластеров планируется осуществлять путем формирования соответствующих инвестиционных проектов, включающих создание транспортной, коммунальной, энергетической инфраструктуры.</w:t>
      </w:r>
    </w:p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E2614">
        <w:rPr>
          <w:rFonts w:ascii="Times New Roman" w:hAnsi="Times New Roman" w:cs="Times New Roman"/>
          <w:sz w:val="28"/>
          <w:szCs w:val="28"/>
        </w:rPr>
        <w:t>На территории Петропавловск-Камчатского городского округа, вошедшей в ТОСЭР «Камчатка» (а это центральная портовая зона и площадка в южной части города) до 2018 года планируются к реализации несколько проектов в сфере туризма, направленных на строительство туристическо-досугового комплекса в районе 10-го км, гостиничного торгово-развлекательного комплекса в районе АЗС, мини-гостиниц и хостелов в районе ул. Ленинская, горнолыжного туристического комплекса на Петровской сопке.</w:t>
      </w:r>
      <w:proofErr w:type="gramEnd"/>
    </w:p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E2614">
        <w:rPr>
          <w:rFonts w:ascii="Times New Roman" w:hAnsi="Times New Roman" w:cs="Times New Roman"/>
          <w:sz w:val="28"/>
          <w:szCs w:val="28"/>
        </w:rPr>
        <w:t xml:space="preserve">В рамках подпрограммы «Формирование и продвижение имиджа Петропавловск-Камчатского городского округа как территории, благоприятной для развития внутреннего и въездного туризма» муниципальной программы «Реализация экономической политики, инвестиционной, межрегиональной и международной деятельности Петропавловск-Камчатского городского округа» были проведены мероприятия по презентация информации о Камчатском крае на международной туристской выставке </w:t>
      </w:r>
      <w:proofErr w:type="spellStart"/>
      <w:r w:rsidRPr="006E2614">
        <w:rPr>
          <w:rFonts w:ascii="Times New Roman" w:hAnsi="Times New Roman" w:cs="Times New Roman"/>
          <w:sz w:val="28"/>
          <w:szCs w:val="28"/>
        </w:rPr>
        <w:t>Интурмаркет</w:t>
      </w:r>
      <w:proofErr w:type="spellEnd"/>
      <w:r w:rsidRPr="006E2614">
        <w:rPr>
          <w:rFonts w:ascii="Times New Roman" w:hAnsi="Times New Roman" w:cs="Times New Roman"/>
          <w:sz w:val="28"/>
          <w:szCs w:val="28"/>
        </w:rPr>
        <w:t xml:space="preserve"> («ITM») в г. Москва, Московской международной выставке «Путешествия и туризм» («MITT»).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 xml:space="preserve"> В 2015 году делегация </w:t>
      </w:r>
      <w:proofErr w:type="gramStart"/>
      <w:r w:rsidRPr="006E2614">
        <w:rPr>
          <w:rFonts w:ascii="Times New Roman" w:hAnsi="Times New Roman" w:cs="Times New Roman"/>
          <w:sz w:val="28"/>
          <w:szCs w:val="28"/>
        </w:rPr>
        <w:t>Петропавловск-Камчатского</w:t>
      </w:r>
      <w:proofErr w:type="gramEnd"/>
      <w:r w:rsidRPr="006E2614">
        <w:rPr>
          <w:rFonts w:ascii="Times New Roman" w:hAnsi="Times New Roman" w:cs="Times New Roman"/>
          <w:sz w:val="28"/>
          <w:szCs w:val="28"/>
        </w:rPr>
        <w:t xml:space="preserve"> городского округа представила туристический и экономический потенциал города на международной выставке ЭКСПО (Китай). </w:t>
      </w:r>
    </w:p>
    <w:p w:rsidR="006E2614" w:rsidRPr="006E2614" w:rsidRDefault="006E2614" w:rsidP="00416BF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6E2614">
        <w:rPr>
          <w:rFonts w:ascii="Times New Roman" w:hAnsi="Times New Roman" w:cs="Times New Roman"/>
          <w:sz w:val="28"/>
          <w:szCs w:val="28"/>
        </w:rPr>
        <w:t>В целях продвижения Камчатского туристского продукта на внутреннем и внешнем рынках создана мобильная версия туристического интернет портала на русском и английском языках: www.m.visitkamchatka.ru и www.m.visitkamchatka.com, а также запущен Камчатский туристический портал на китайском языке www.kamchatka-china.com.</w:t>
      </w:r>
      <w:proofErr w:type="gramEnd"/>
    </w:p>
    <w:p w:rsidR="006E2614" w:rsidRPr="000C0864" w:rsidRDefault="006E2614" w:rsidP="006E2614">
      <w:pPr>
        <w:pStyle w:val="a8"/>
        <w:spacing w:before="0" w:after="0"/>
        <w:ind w:firstLine="708"/>
        <w:rPr>
          <w:spacing w:val="-5"/>
          <w:sz w:val="28"/>
          <w:szCs w:val="28"/>
        </w:rPr>
      </w:pPr>
    </w:p>
    <w:p w:rsidR="006E2614" w:rsidRDefault="006E2614" w:rsidP="006E2614">
      <w:pPr>
        <w:jc w:val="center"/>
      </w:pPr>
    </w:p>
    <w:p w:rsidR="006E2614" w:rsidRDefault="006E2614" w:rsidP="006E2614"/>
    <w:p w:rsidR="00352EFE" w:rsidRDefault="00352EFE" w:rsidP="00963F80">
      <w:pPr>
        <w:spacing w:after="0"/>
        <w:ind w:right="-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52EFE" w:rsidSect="00B92D1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charset w:val="00"/>
    <w:family w:val="auto"/>
    <w:pitch w:val="variable"/>
  </w:font>
  <w:font w:name="T3Font_5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FD49918"/>
    <w:lvl w:ilvl="0">
      <w:numFmt w:val="bullet"/>
      <w:lvlText w:val="*"/>
      <w:lvlJc w:val="left"/>
    </w:lvl>
  </w:abstractNum>
  <w:abstractNum w:abstractNumId="1">
    <w:nsid w:val="00D04DD1"/>
    <w:multiLevelType w:val="hybridMultilevel"/>
    <w:tmpl w:val="236EAE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281D92"/>
    <w:multiLevelType w:val="hybridMultilevel"/>
    <w:tmpl w:val="66B2388A"/>
    <w:lvl w:ilvl="0" w:tplc="FCEC94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03781D"/>
    <w:multiLevelType w:val="hybridMultilevel"/>
    <w:tmpl w:val="97B0D914"/>
    <w:lvl w:ilvl="0" w:tplc="EB98D2E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32193A"/>
    <w:multiLevelType w:val="hybridMultilevel"/>
    <w:tmpl w:val="DC205D5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C854FC0"/>
    <w:multiLevelType w:val="hybridMultilevel"/>
    <w:tmpl w:val="8DF8E154"/>
    <w:lvl w:ilvl="0" w:tplc="472E16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4441C6"/>
    <w:multiLevelType w:val="hybridMultilevel"/>
    <w:tmpl w:val="718A3B38"/>
    <w:lvl w:ilvl="0" w:tplc="AEBCEA3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931D7E"/>
    <w:multiLevelType w:val="hybridMultilevel"/>
    <w:tmpl w:val="5E64BADC"/>
    <w:lvl w:ilvl="0" w:tplc="7980A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F1BD7"/>
    <w:multiLevelType w:val="hybridMultilevel"/>
    <w:tmpl w:val="A9D27406"/>
    <w:lvl w:ilvl="0" w:tplc="EDEE6CA6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4591DBF"/>
    <w:multiLevelType w:val="hybridMultilevel"/>
    <w:tmpl w:val="D7103594"/>
    <w:lvl w:ilvl="0" w:tplc="01C2E4D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C414FB"/>
    <w:multiLevelType w:val="hybridMultilevel"/>
    <w:tmpl w:val="24D6718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29F96CA1"/>
    <w:multiLevelType w:val="hybridMultilevel"/>
    <w:tmpl w:val="737E3A76"/>
    <w:lvl w:ilvl="0" w:tplc="65FC10DE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2">
    <w:nsid w:val="2F3A07B2"/>
    <w:multiLevelType w:val="hybridMultilevel"/>
    <w:tmpl w:val="EFE6E4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9EB34F8"/>
    <w:multiLevelType w:val="hybridMultilevel"/>
    <w:tmpl w:val="3EACD46E"/>
    <w:lvl w:ilvl="0" w:tplc="F8E4FB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4460DD"/>
    <w:multiLevelType w:val="hybridMultilevel"/>
    <w:tmpl w:val="9E440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851B96"/>
    <w:multiLevelType w:val="hybridMultilevel"/>
    <w:tmpl w:val="C7C448AC"/>
    <w:lvl w:ilvl="0" w:tplc="10F015F6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94" w:hanging="360"/>
      </w:pPr>
    </w:lvl>
    <w:lvl w:ilvl="2" w:tplc="0419001B" w:tentative="1">
      <w:start w:val="1"/>
      <w:numFmt w:val="lowerRoman"/>
      <w:lvlText w:val="%3."/>
      <w:lvlJc w:val="right"/>
      <w:pPr>
        <w:ind w:left="3514" w:hanging="180"/>
      </w:pPr>
    </w:lvl>
    <w:lvl w:ilvl="3" w:tplc="0419000F" w:tentative="1">
      <w:start w:val="1"/>
      <w:numFmt w:val="decimal"/>
      <w:lvlText w:val="%4."/>
      <w:lvlJc w:val="left"/>
      <w:pPr>
        <w:ind w:left="4234" w:hanging="360"/>
      </w:pPr>
    </w:lvl>
    <w:lvl w:ilvl="4" w:tplc="04190019" w:tentative="1">
      <w:start w:val="1"/>
      <w:numFmt w:val="lowerLetter"/>
      <w:lvlText w:val="%5."/>
      <w:lvlJc w:val="left"/>
      <w:pPr>
        <w:ind w:left="4954" w:hanging="360"/>
      </w:pPr>
    </w:lvl>
    <w:lvl w:ilvl="5" w:tplc="0419001B" w:tentative="1">
      <w:start w:val="1"/>
      <w:numFmt w:val="lowerRoman"/>
      <w:lvlText w:val="%6."/>
      <w:lvlJc w:val="right"/>
      <w:pPr>
        <w:ind w:left="5674" w:hanging="180"/>
      </w:pPr>
    </w:lvl>
    <w:lvl w:ilvl="6" w:tplc="0419000F" w:tentative="1">
      <w:start w:val="1"/>
      <w:numFmt w:val="decimal"/>
      <w:lvlText w:val="%7."/>
      <w:lvlJc w:val="left"/>
      <w:pPr>
        <w:ind w:left="6394" w:hanging="360"/>
      </w:pPr>
    </w:lvl>
    <w:lvl w:ilvl="7" w:tplc="04190019" w:tentative="1">
      <w:start w:val="1"/>
      <w:numFmt w:val="lowerLetter"/>
      <w:lvlText w:val="%8."/>
      <w:lvlJc w:val="left"/>
      <w:pPr>
        <w:ind w:left="7114" w:hanging="360"/>
      </w:pPr>
    </w:lvl>
    <w:lvl w:ilvl="8" w:tplc="0419001B" w:tentative="1">
      <w:start w:val="1"/>
      <w:numFmt w:val="lowerRoman"/>
      <w:lvlText w:val="%9."/>
      <w:lvlJc w:val="right"/>
      <w:pPr>
        <w:ind w:left="7834" w:hanging="180"/>
      </w:pPr>
    </w:lvl>
  </w:abstractNum>
  <w:abstractNum w:abstractNumId="16">
    <w:nsid w:val="459F1B0F"/>
    <w:multiLevelType w:val="hybridMultilevel"/>
    <w:tmpl w:val="A7FA9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25D17"/>
    <w:multiLevelType w:val="hybridMultilevel"/>
    <w:tmpl w:val="B350B738"/>
    <w:lvl w:ilvl="0" w:tplc="2DB6EE40">
      <w:start w:val="1"/>
      <w:numFmt w:val="decimal"/>
      <w:lvlText w:val="%1)"/>
      <w:lvlJc w:val="left"/>
      <w:pPr>
        <w:ind w:left="1774" w:hanging="10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3577C28"/>
    <w:multiLevelType w:val="hybridMultilevel"/>
    <w:tmpl w:val="AE2AF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685BB3"/>
    <w:multiLevelType w:val="hybridMultilevel"/>
    <w:tmpl w:val="68A29A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6B8C2DEE"/>
    <w:multiLevelType w:val="hybridMultilevel"/>
    <w:tmpl w:val="5C940D3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6FA26B84"/>
    <w:multiLevelType w:val="hybridMultilevel"/>
    <w:tmpl w:val="50AC5BBA"/>
    <w:lvl w:ilvl="0" w:tplc="3BB28EE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39F73E8"/>
    <w:multiLevelType w:val="hybridMultilevel"/>
    <w:tmpl w:val="C3FA0AC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9"/>
  </w:num>
  <w:num w:numId="12">
    <w:abstractNumId w:val="6"/>
  </w:num>
  <w:num w:numId="13">
    <w:abstractNumId w:val="15"/>
  </w:num>
  <w:num w:numId="14">
    <w:abstractNumId w:val="22"/>
  </w:num>
  <w:num w:numId="15">
    <w:abstractNumId w:val="13"/>
  </w:num>
  <w:num w:numId="16">
    <w:abstractNumId w:val="10"/>
  </w:num>
  <w:num w:numId="17">
    <w:abstractNumId w:val="4"/>
  </w:num>
  <w:num w:numId="18">
    <w:abstractNumId w:val="20"/>
  </w:num>
  <w:num w:numId="19">
    <w:abstractNumId w:val="11"/>
  </w:num>
  <w:num w:numId="20">
    <w:abstractNumId w:val="5"/>
  </w:num>
  <w:num w:numId="21">
    <w:abstractNumId w:val="16"/>
  </w:num>
  <w:num w:numId="22">
    <w:abstractNumId w:val="1"/>
  </w:num>
  <w:num w:numId="23">
    <w:abstractNumId w:val="1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278"/>
    <w:rsid w:val="0000039E"/>
    <w:rsid w:val="00006DBB"/>
    <w:rsid w:val="00016B72"/>
    <w:rsid w:val="000225D4"/>
    <w:rsid w:val="00024EF4"/>
    <w:rsid w:val="00025E70"/>
    <w:rsid w:val="000335D0"/>
    <w:rsid w:val="0003524E"/>
    <w:rsid w:val="0003528F"/>
    <w:rsid w:val="00043FFA"/>
    <w:rsid w:val="00046A23"/>
    <w:rsid w:val="00051C68"/>
    <w:rsid w:val="00067DAB"/>
    <w:rsid w:val="000710A8"/>
    <w:rsid w:val="00071338"/>
    <w:rsid w:val="000732D4"/>
    <w:rsid w:val="000844F2"/>
    <w:rsid w:val="0008470B"/>
    <w:rsid w:val="00087DBD"/>
    <w:rsid w:val="000955A9"/>
    <w:rsid w:val="000963E1"/>
    <w:rsid w:val="000A0C54"/>
    <w:rsid w:val="000A143E"/>
    <w:rsid w:val="000A1AEC"/>
    <w:rsid w:val="000A6CDA"/>
    <w:rsid w:val="000C6AE5"/>
    <w:rsid w:val="000D47A6"/>
    <w:rsid w:val="000E75F2"/>
    <w:rsid w:val="000F1CE8"/>
    <w:rsid w:val="000F47F7"/>
    <w:rsid w:val="000F65B4"/>
    <w:rsid w:val="000F7934"/>
    <w:rsid w:val="0010141B"/>
    <w:rsid w:val="00122AEB"/>
    <w:rsid w:val="00122F87"/>
    <w:rsid w:val="00123F1B"/>
    <w:rsid w:val="00124226"/>
    <w:rsid w:val="00125714"/>
    <w:rsid w:val="00132A08"/>
    <w:rsid w:val="0014205A"/>
    <w:rsid w:val="00142540"/>
    <w:rsid w:val="001433D1"/>
    <w:rsid w:val="00152A3D"/>
    <w:rsid w:val="0015549C"/>
    <w:rsid w:val="00157B0C"/>
    <w:rsid w:val="00160C01"/>
    <w:rsid w:val="001628EA"/>
    <w:rsid w:val="00165A32"/>
    <w:rsid w:val="001719BD"/>
    <w:rsid w:val="00174066"/>
    <w:rsid w:val="00177182"/>
    <w:rsid w:val="00180603"/>
    <w:rsid w:val="0019163F"/>
    <w:rsid w:val="0019348D"/>
    <w:rsid w:val="001946F1"/>
    <w:rsid w:val="001962FD"/>
    <w:rsid w:val="00196D23"/>
    <w:rsid w:val="001B0405"/>
    <w:rsid w:val="001B43EA"/>
    <w:rsid w:val="001B50BB"/>
    <w:rsid w:val="001B72AD"/>
    <w:rsid w:val="001C47C5"/>
    <w:rsid w:val="001C551F"/>
    <w:rsid w:val="001C7AA2"/>
    <w:rsid w:val="001D1DCD"/>
    <w:rsid w:val="001D2FE1"/>
    <w:rsid w:val="001E2903"/>
    <w:rsid w:val="001E35C2"/>
    <w:rsid w:val="001F4CA7"/>
    <w:rsid w:val="001F696A"/>
    <w:rsid w:val="001F6E57"/>
    <w:rsid w:val="0021633A"/>
    <w:rsid w:val="002215FD"/>
    <w:rsid w:val="0023521A"/>
    <w:rsid w:val="002365DB"/>
    <w:rsid w:val="00236CAA"/>
    <w:rsid w:val="00241BBD"/>
    <w:rsid w:val="00243187"/>
    <w:rsid w:val="00244F88"/>
    <w:rsid w:val="00254C5D"/>
    <w:rsid w:val="00261C1D"/>
    <w:rsid w:val="00262443"/>
    <w:rsid w:val="00263FDD"/>
    <w:rsid w:val="00266F5A"/>
    <w:rsid w:val="00275D97"/>
    <w:rsid w:val="002829B8"/>
    <w:rsid w:val="00285C9C"/>
    <w:rsid w:val="002873FB"/>
    <w:rsid w:val="00290DF2"/>
    <w:rsid w:val="00294358"/>
    <w:rsid w:val="002A32FD"/>
    <w:rsid w:val="002A3496"/>
    <w:rsid w:val="002A62B2"/>
    <w:rsid w:val="002B0FBE"/>
    <w:rsid w:val="002B2801"/>
    <w:rsid w:val="002B76BA"/>
    <w:rsid w:val="002D0458"/>
    <w:rsid w:val="002D24DF"/>
    <w:rsid w:val="002D6861"/>
    <w:rsid w:val="002F2397"/>
    <w:rsid w:val="002F5146"/>
    <w:rsid w:val="002F6974"/>
    <w:rsid w:val="00307395"/>
    <w:rsid w:val="00313F63"/>
    <w:rsid w:val="00314C17"/>
    <w:rsid w:val="00317278"/>
    <w:rsid w:val="0032052A"/>
    <w:rsid w:val="00322DDF"/>
    <w:rsid w:val="003232EE"/>
    <w:rsid w:val="003279FB"/>
    <w:rsid w:val="0033193B"/>
    <w:rsid w:val="00333EFB"/>
    <w:rsid w:val="003405D2"/>
    <w:rsid w:val="00341555"/>
    <w:rsid w:val="00346D85"/>
    <w:rsid w:val="0035142E"/>
    <w:rsid w:val="00352EFE"/>
    <w:rsid w:val="00360B40"/>
    <w:rsid w:val="0036757E"/>
    <w:rsid w:val="003828D0"/>
    <w:rsid w:val="0038555C"/>
    <w:rsid w:val="00394C9F"/>
    <w:rsid w:val="00397969"/>
    <w:rsid w:val="003A5142"/>
    <w:rsid w:val="003B1CF4"/>
    <w:rsid w:val="003C3E81"/>
    <w:rsid w:val="003C66C3"/>
    <w:rsid w:val="003D3F00"/>
    <w:rsid w:val="003D4C1F"/>
    <w:rsid w:val="003D78D8"/>
    <w:rsid w:val="003E5BCD"/>
    <w:rsid w:val="003E6DBD"/>
    <w:rsid w:val="003E7EA6"/>
    <w:rsid w:val="003F1746"/>
    <w:rsid w:val="003F1FEB"/>
    <w:rsid w:val="003F3CE0"/>
    <w:rsid w:val="0040263C"/>
    <w:rsid w:val="0041228A"/>
    <w:rsid w:val="004153CE"/>
    <w:rsid w:val="00416BF2"/>
    <w:rsid w:val="00421F98"/>
    <w:rsid w:val="00426153"/>
    <w:rsid w:val="00445F18"/>
    <w:rsid w:val="00446662"/>
    <w:rsid w:val="0045556F"/>
    <w:rsid w:val="004559F8"/>
    <w:rsid w:val="00462E57"/>
    <w:rsid w:val="00465491"/>
    <w:rsid w:val="00465C7F"/>
    <w:rsid w:val="00491F4A"/>
    <w:rsid w:val="00492E7A"/>
    <w:rsid w:val="004944E4"/>
    <w:rsid w:val="004A2261"/>
    <w:rsid w:val="004A50AC"/>
    <w:rsid w:val="004B41A2"/>
    <w:rsid w:val="004B4B22"/>
    <w:rsid w:val="004B69D9"/>
    <w:rsid w:val="004C2F8A"/>
    <w:rsid w:val="004D20AB"/>
    <w:rsid w:val="004D5A16"/>
    <w:rsid w:val="004D5DF8"/>
    <w:rsid w:val="004E07A5"/>
    <w:rsid w:val="004E72DF"/>
    <w:rsid w:val="004E7360"/>
    <w:rsid w:val="004F008C"/>
    <w:rsid w:val="004F0134"/>
    <w:rsid w:val="00504419"/>
    <w:rsid w:val="0050509E"/>
    <w:rsid w:val="00506B54"/>
    <w:rsid w:val="00513AE1"/>
    <w:rsid w:val="00532AB2"/>
    <w:rsid w:val="0055048B"/>
    <w:rsid w:val="005536C0"/>
    <w:rsid w:val="00561563"/>
    <w:rsid w:val="00561757"/>
    <w:rsid w:val="005665C4"/>
    <w:rsid w:val="005715B2"/>
    <w:rsid w:val="0058379A"/>
    <w:rsid w:val="005900BE"/>
    <w:rsid w:val="00590CA1"/>
    <w:rsid w:val="0059507D"/>
    <w:rsid w:val="005A351A"/>
    <w:rsid w:val="005B2C57"/>
    <w:rsid w:val="005B2CCB"/>
    <w:rsid w:val="005B64A2"/>
    <w:rsid w:val="005B6862"/>
    <w:rsid w:val="005C0069"/>
    <w:rsid w:val="005C30E3"/>
    <w:rsid w:val="005C376A"/>
    <w:rsid w:val="005C690C"/>
    <w:rsid w:val="005D0F7F"/>
    <w:rsid w:val="005D6CDE"/>
    <w:rsid w:val="005E2FD1"/>
    <w:rsid w:val="005F4F0E"/>
    <w:rsid w:val="00622CB2"/>
    <w:rsid w:val="00626DAB"/>
    <w:rsid w:val="00627762"/>
    <w:rsid w:val="0063631A"/>
    <w:rsid w:val="00640EFD"/>
    <w:rsid w:val="00654852"/>
    <w:rsid w:val="00655BA5"/>
    <w:rsid w:val="006739BC"/>
    <w:rsid w:val="006747D0"/>
    <w:rsid w:val="006765E7"/>
    <w:rsid w:val="00681421"/>
    <w:rsid w:val="0068224E"/>
    <w:rsid w:val="00692EEC"/>
    <w:rsid w:val="006941EB"/>
    <w:rsid w:val="006A0279"/>
    <w:rsid w:val="006A0E37"/>
    <w:rsid w:val="006B32E6"/>
    <w:rsid w:val="006B42F1"/>
    <w:rsid w:val="006B5F3C"/>
    <w:rsid w:val="006C02D6"/>
    <w:rsid w:val="006C34D4"/>
    <w:rsid w:val="006C5B32"/>
    <w:rsid w:val="006C6BED"/>
    <w:rsid w:val="006D420D"/>
    <w:rsid w:val="006E0B53"/>
    <w:rsid w:val="006E2614"/>
    <w:rsid w:val="006E6185"/>
    <w:rsid w:val="006E6AF2"/>
    <w:rsid w:val="006E7250"/>
    <w:rsid w:val="006F31C9"/>
    <w:rsid w:val="006F4318"/>
    <w:rsid w:val="00704A48"/>
    <w:rsid w:val="007137C4"/>
    <w:rsid w:val="007170F2"/>
    <w:rsid w:val="00717D46"/>
    <w:rsid w:val="00717FA0"/>
    <w:rsid w:val="00720A2F"/>
    <w:rsid w:val="00721BA3"/>
    <w:rsid w:val="007230D0"/>
    <w:rsid w:val="00723F45"/>
    <w:rsid w:val="007279E8"/>
    <w:rsid w:val="00733338"/>
    <w:rsid w:val="00735E58"/>
    <w:rsid w:val="00736297"/>
    <w:rsid w:val="00742670"/>
    <w:rsid w:val="00750020"/>
    <w:rsid w:val="00754888"/>
    <w:rsid w:val="00755718"/>
    <w:rsid w:val="007561C6"/>
    <w:rsid w:val="007648D9"/>
    <w:rsid w:val="00764E8E"/>
    <w:rsid w:val="0077165E"/>
    <w:rsid w:val="0077364B"/>
    <w:rsid w:val="007770F0"/>
    <w:rsid w:val="00777164"/>
    <w:rsid w:val="00781734"/>
    <w:rsid w:val="00784CED"/>
    <w:rsid w:val="00785014"/>
    <w:rsid w:val="00793231"/>
    <w:rsid w:val="007A33CB"/>
    <w:rsid w:val="007A3E16"/>
    <w:rsid w:val="007A59A9"/>
    <w:rsid w:val="007B5149"/>
    <w:rsid w:val="007B6971"/>
    <w:rsid w:val="007C3207"/>
    <w:rsid w:val="007C4201"/>
    <w:rsid w:val="007E4494"/>
    <w:rsid w:val="007F63B6"/>
    <w:rsid w:val="00802977"/>
    <w:rsid w:val="008059C9"/>
    <w:rsid w:val="00806C19"/>
    <w:rsid w:val="00807FB7"/>
    <w:rsid w:val="00816EA1"/>
    <w:rsid w:val="00821F91"/>
    <w:rsid w:val="00822143"/>
    <w:rsid w:val="00825032"/>
    <w:rsid w:val="0082628F"/>
    <w:rsid w:val="00830752"/>
    <w:rsid w:val="00840CEE"/>
    <w:rsid w:val="0084232D"/>
    <w:rsid w:val="008531DC"/>
    <w:rsid w:val="00853DDD"/>
    <w:rsid w:val="00862522"/>
    <w:rsid w:val="008633B4"/>
    <w:rsid w:val="00867243"/>
    <w:rsid w:val="008725CF"/>
    <w:rsid w:val="008748D1"/>
    <w:rsid w:val="00875890"/>
    <w:rsid w:val="008768A2"/>
    <w:rsid w:val="008773DE"/>
    <w:rsid w:val="00881B57"/>
    <w:rsid w:val="00882A70"/>
    <w:rsid w:val="008A41C6"/>
    <w:rsid w:val="008B2BEA"/>
    <w:rsid w:val="008B43DA"/>
    <w:rsid w:val="008C2EE9"/>
    <w:rsid w:val="008C62D9"/>
    <w:rsid w:val="008C6AC5"/>
    <w:rsid w:val="008D314B"/>
    <w:rsid w:val="008D4502"/>
    <w:rsid w:val="008E1E7B"/>
    <w:rsid w:val="00900AA0"/>
    <w:rsid w:val="00907492"/>
    <w:rsid w:val="00911272"/>
    <w:rsid w:val="0091215C"/>
    <w:rsid w:val="00915A06"/>
    <w:rsid w:val="009217C2"/>
    <w:rsid w:val="00922E89"/>
    <w:rsid w:val="00923D47"/>
    <w:rsid w:val="00926837"/>
    <w:rsid w:val="00941469"/>
    <w:rsid w:val="00941777"/>
    <w:rsid w:val="00941C80"/>
    <w:rsid w:val="00942A4D"/>
    <w:rsid w:val="00945293"/>
    <w:rsid w:val="009517A0"/>
    <w:rsid w:val="00954545"/>
    <w:rsid w:val="00960F3F"/>
    <w:rsid w:val="00963F80"/>
    <w:rsid w:val="009644EB"/>
    <w:rsid w:val="009647BD"/>
    <w:rsid w:val="00967CE4"/>
    <w:rsid w:val="00986BEE"/>
    <w:rsid w:val="00990C37"/>
    <w:rsid w:val="009915E4"/>
    <w:rsid w:val="00994F17"/>
    <w:rsid w:val="00995265"/>
    <w:rsid w:val="00997E1F"/>
    <w:rsid w:val="009A3EA8"/>
    <w:rsid w:val="009A410D"/>
    <w:rsid w:val="009A4D45"/>
    <w:rsid w:val="009C2369"/>
    <w:rsid w:val="009C575A"/>
    <w:rsid w:val="009C7D2B"/>
    <w:rsid w:val="009D0A07"/>
    <w:rsid w:val="009D5C7B"/>
    <w:rsid w:val="009E3DC1"/>
    <w:rsid w:val="00A07E4C"/>
    <w:rsid w:val="00A31399"/>
    <w:rsid w:val="00A35217"/>
    <w:rsid w:val="00A43110"/>
    <w:rsid w:val="00A44506"/>
    <w:rsid w:val="00A445CE"/>
    <w:rsid w:val="00A45E4E"/>
    <w:rsid w:val="00A5136B"/>
    <w:rsid w:val="00A51764"/>
    <w:rsid w:val="00A555E4"/>
    <w:rsid w:val="00A5575B"/>
    <w:rsid w:val="00A56E40"/>
    <w:rsid w:val="00A63AFB"/>
    <w:rsid w:val="00A72709"/>
    <w:rsid w:val="00A73892"/>
    <w:rsid w:val="00A739CF"/>
    <w:rsid w:val="00A86316"/>
    <w:rsid w:val="00A864DF"/>
    <w:rsid w:val="00A9154B"/>
    <w:rsid w:val="00A96021"/>
    <w:rsid w:val="00AA3DAB"/>
    <w:rsid w:val="00AB0C10"/>
    <w:rsid w:val="00AB711B"/>
    <w:rsid w:val="00AC229C"/>
    <w:rsid w:val="00AC6F92"/>
    <w:rsid w:val="00AE45B6"/>
    <w:rsid w:val="00AE728E"/>
    <w:rsid w:val="00B011AD"/>
    <w:rsid w:val="00B06A54"/>
    <w:rsid w:val="00B0714B"/>
    <w:rsid w:val="00B11F23"/>
    <w:rsid w:val="00B149CA"/>
    <w:rsid w:val="00B20807"/>
    <w:rsid w:val="00B21E88"/>
    <w:rsid w:val="00B274A5"/>
    <w:rsid w:val="00B36CB2"/>
    <w:rsid w:val="00B40681"/>
    <w:rsid w:val="00B409CC"/>
    <w:rsid w:val="00B433AB"/>
    <w:rsid w:val="00B47B90"/>
    <w:rsid w:val="00B503E7"/>
    <w:rsid w:val="00B5623F"/>
    <w:rsid w:val="00B649C9"/>
    <w:rsid w:val="00B86867"/>
    <w:rsid w:val="00B92D1B"/>
    <w:rsid w:val="00B93745"/>
    <w:rsid w:val="00BA1482"/>
    <w:rsid w:val="00BA3B1B"/>
    <w:rsid w:val="00BA46E9"/>
    <w:rsid w:val="00BB55E7"/>
    <w:rsid w:val="00BB6E1A"/>
    <w:rsid w:val="00BC2E57"/>
    <w:rsid w:val="00BD74C9"/>
    <w:rsid w:val="00BE4A04"/>
    <w:rsid w:val="00BF42DA"/>
    <w:rsid w:val="00BF45D6"/>
    <w:rsid w:val="00C03B70"/>
    <w:rsid w:val="00C20D00"/>
    <w:rsid w:val="00C322CE"/>
    <w:rsid w:val="00C37EE4"/>
    <w:rsid w:val="00C4256B"/>
    <w:rsid w:val="00C527E5"/>
    <w:rsid w:val="00C535B4"/>
    <w:rsid w:val="00C63EE8"/>
    <w:rsid w:val="00C657E6"/>
    <w:rsid w:val="00C6586E"/>
    <w:rsid w:val="00C66C86"/>
    <w:rsid w:val="00C72DD0"/>
    <w:rsid w:val="00C73E2D"/>
    <w:rsid w:val="00C75701"/>
    <w:rsid w:val="00C76FA6"/>
    <w:rsid w:val="00C803E4"/>
    <w:rsid w:val="00C80915"/>
    <w:rsid w:val="00C90ABB"/>
    <w:rsid w:val="00C975DC"/>
    <w:rsid w:val="00CA0A4D"/>
    <w:rsid w:val="00CA28B4"/>
    <w:rsid w:val="00CA379F"/>
    <w:rsid w:val="00CA50D8"/>
    <w:rsid w:val="00CB0A15"/>
    <w:rsid w:val="00CB6AE1"/>
    <w:rsid w:val="00CC68DD"/>
    <w:rsid w:val="00CD708A"/>
    <w:rsid w:val="00CE30CB"/>
    <w:rsid w:val="00CE4DF7"/>
    <w:rsid w:val="00CF3C15"/>
    <w:rsid w:val="00D02967"/>
    <w:rsid w:val="00D03541"/>
    <w:rsid w:val="00D057ED"/>
    <w:rsid w:val="00D06962"/>
    <w:rsid w:val="00D104AF"/>
    <w:rsid w:val="00D11D10"/>
    <w:rsid w:val="00D12A9F"/>
    <w:rsid w:val="00D16857"/>
    <w:rsid w:val="00D178D7"/>
    <w:rsid w:val="00D20D75"/>
    <w:rsid w:val="00D2416E"/>
    <w:rsid w:val="00D303B5"/>
    <w:rsid w:val="00D35FB4"/>
    <w:rsid w:val="00D41322"/>
    <w:rsid w:val="00D41EDB"/>
    <w:rsid w:val="00D44346"/>
    <w:rsid w:val="00D47088"/>
    <w:rsid w:val="00D5361C"/>
    <w:rsid w:val="00D54CB3"/>
    <w:rsid w:val="00D5765A"/>
    <w:rsid w:val="00D62194"/>
    <w:rsid w:val="00D674A8"/>
    <w:rsid w:val="00D7115B"/>
    <w:rsid w:val="00D77A48"/>
    <w:rsid w:val="00D86C0E"/>
    <w:rsid w:val="00D87E5A"/>
    <w:rsid w:val="00D902BA"/>
    <w:rsid w:val="00DB18BA"/>
    <w:rsid w:val="00DB5F2E"/>
    <w:rsid w:val="00DB760C"/>
    <w:rsid w:val="00DC244E"/>
    <w:rsid w:val="00DC5E81"/>
    <w:rsid w:val="00DD185C"/>
    <w:rsid w:val="00DD223B"/>
    <w:rsid w:val="00DD226D"/>
    <w:rsid w:val="00DD2532"/>
    <w:rsid w:val="00DD355F"/>
    <w:rsid w:val="00DE1974"/>
    <w:rsid w:val="00DE3FC8"/>
    <w:rsid w:val="00DE452A"/>
    <w:rsid w:val="00DF2796"/>
    <w:rsid w:val="00E01227"/>
    <w:rsid w:val="00E21D4B"/>
    <w:rsid w:val="00E24E67"/>
    <w:rsid w:val="00E43AD0"/>
    <w:rsid w:val="00E541FB"/>
    <w:rsid w:val="00E6097D"/>
    <w:rsid w:val="00E623B6"/>
    <w:rsid w:val="00E82BF1"/>
    <w:rsid w:val="00E94F56"/>
    <w:rsid w:val="00E95B27"/>
    <w:rsid w:val="00EA041F"/>
    <w:rsid w:val="00EA1716"/>
    <w:rsid w:val="00EB078C"/>
    <w:rsid w:val="00EB2C19"/>
    <w:rsid w:val="00EB32A5"/>
    <w:rsid w:val="00EB71D7"/>
    <w:rsid w:val="00ED0706"/>
    <w:rsid w:val="00ED1D96"/>
    <w:rsid w:val="00ED4713"/>
    <w:rsid w:val="00EE3D61"/>
    <w:rsid w:val="00EE4CD4"/>
    <w:rsid w:val="00EE6A7C"/>
    <w:rsid w:val="00EF5B83"/>
    <w:rsid w:val="00F030B1"/>
    <w:rsid w:val="00F031AC"/>
    <w:rsid w:val="00F045A3"/>
    <w:rsid w:val="00F04712"/>
    <w:rsid w:val="00F04D23"/>
    <w:rsid w:val="00F057E2"/>
    <w:rsid w:val="00F15D56"/>
    <w:rsid w:val="00F25ADC"/>
    <w:rsid w:val="00F337FE"/>
    <w:rsid w:val="00F33842"/>
    <w:rsid w:val="00F40628"/>
    <w:rsid w:val="00F4169A"/>
    <w:rsid w:val="00F5083F"/>
    <w:rsid w:val="00F54972"/>
    <w:rsid w:val="00F552EF"/>
    <w:rsid w:val="00F55ED7"/>
    <w:rsid w:val="00F6022A"/>
    <w:rsid w:val="00F61AB9"/>
    <w:rsid w:val="00F6565B"/>
    <w:rsid w:val="00F7506A"/>
    <w:rsid w:val="00F847C0"/>
    <w:rsid w:val="00F84C4D"/>
    <w:rsid w:val="00F9290B"/>
    <w:rsid w:val="00F97B1F"/>
    <w:rsid w:val="00FA0384"/>
    <w:rsid w:val="00FA178A"/>
    <w:rsid w:val="00FA17EA"/>
    <w:rsid w:val="00FA670C"/>
    <w:rsid w:val="00FA76D1"/>
    <w:rsid w:val="00FB76C6"/>
    <w:rsid w:val="00FC56A3"/>
    <w:rsid w:val="00FC56CE"/>
    <w:rsid w:val="00FD19A2"/>
    <w:rsid w:val="00FD3E81"/>
    <w:rsid w:val="00FE7457"/>
    <w:rsid w:val="00FF012C"/>
    <w:rsid w:val="00FF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78"/>
  </w:style>
  <w:style w:type="paragraph" w:styleId="1">
    <w:name w:val="heading 1"/>
    <w:basedOn w:val="a"/>
    <w:next w:val="a"/>
    <w:link w:val="10"/>
    <w:uiPriority w:val="9"/>
    <w:qFormat/>
    <w:rsid w:val="004153CE"/>
    <w:pPr>
      <w:autoSpaceDE w:val="0"/>
      <w:autoSpaceDN w:val="0"/>
      <w:adjustRightInd w:val="0"/>
      <w:spacing w:after="0"/>
      <w:jc w:val="center"/>
      <w:outlineLvl w:val="0"/>
    </w:pPr>
    <w:rPr>
      <w:rFonts w:ascii="Times New Roman" w:eastAsia="Calibri" w:hAnsi="Times New Roman" w:cs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63A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C02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53CE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rsid w:val="006C02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ODY">
    <w:name w:val="_BODY"/>
    <w:basedOn w:val="a"/>
    <w:rsid w:val="00317278"/>
    <w:pPr>
      <w:widowControl w:val="0"/>
      <w:overflowPunct w:val="0"/>
      <w:autoSpaceDE w:val="0"/>
      <w:autoSpaceDN w:val="0"/>
      <w:adjustRightInd w:val="0"/>
      <w:spacing w:after="0" w:line="288" w:lineRule="auto"/>
      <w:textAlignment w:val="baseline"/>
    </w:pPr>
    <w:rPr>
      <w:rFonts w:ascii="Times New Roman" w:eastAsia="Times New Roman" w:hAnsi="Times New Roman" w:cs="Times New Roman"/>
      <w:color w:val="000000"/>
      <w:kern w:val="20"/>
      <w:sz w:val="26"/>
      <w:szCs w:val="20"/>
      <w:lang w:eastAsia="ru-RU"/>
    </w:rPr>
  </w:style>
  <w:style w:type="table" w:styleId="a3">
    <w:name w:val="Table Grid"/>
    <w:basedOn w:val="a1"/>
    <w:uiPriority w:val="59"/>
    <w:rsid w:val="0031727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44EB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4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55A9"/>
    <w:pPr>
      <w:autoSpaceDE w:val="0"/>
      <w:autoSpaceDN w:val="0"/>
      <w:adjustRightInd w:val="0"/>
      <w:spacing w:after="0"/>
    </w:pPr>
    <w:rPr>
      <w:rFonts w:ascii="Times New Roman" w:hAnsi="Times New Roman" w:cs="Times New Roman"/>
      <w:sz w:val="28"/>
      <w:szCs w:val="28"/>
    </w:rPr>
  </w:style>
  <w:style w:type="paragraph" w:customStyle="1" w:styleId="24">
    <w:name w:val="Основной текст 24"/>
    <w:basedOn w:val="a"/>
    <w:rsid w:val="006C02D6"/>
    <w:pPr>
      <w:widowControl w:val="0"/>
      <w:spacing w:after="6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6C02D6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uiPriority w:val="99"/>
    <w:rsid w:val="006C02D6"/>
    <w:pPr>
      <w:widowControl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35">
    <w:name w:val="Стиль Основной текст с отступом + Справа:  -235 см Междустр.интер..."/>
    <w:basedOn w:val="a6"/>
    <w:rsid w:val="006C02D6"/>
    <w:pPr>
      <w:spacing w:after="0" w:line="360" w:lineRule="exact"/>
      <w:ind w:left="0" w:firstLine="56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6C02D6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C02D6"/>
  </w:style>
  <w:style w:type="paragraph" w:styleId="a8">
    <w:name w:val="Normal (Web)"/>
    <w:basedOn w:val="a"/>
    <w:uiPriority w:val="99"/>
    <w:unhideWhenUsed/>
    <w:rsid w:val="006C02D6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6C02D6"/>
    <w:pPr>
      <w:spacing w:line="259" w:lineRule="auto"/>
    </w:pPr>
  </w:style>
  <w:style w:type="character" w:customStyle="1" w:styleId="aa">
    <w:name w:val="Основной текст Знак"/>
    <w:basedOn w:val="a0"/>
    <w:link w:val="a9"/>
    <w:uiPriority w:val="99"/>
    <w:rsid w:val="006C02D6"/>
  </w:style>
  <w:style w:type="character" w:customStyle="1" w:styleId="14">
    <w:name w:val="Обычный +14 Знак"/>
    <w:link w:val="140"/>
    <w:rsid w:val="006C02D6"/>
    <w:rPr>
      <w:sz w:val="28"/>
      <w:szCs w:val="24"/>
      <w:lang w:eastAsia="ru-RU"/>
    </w:rPr>
  </w:style>
  <w:style w:type="paragraph" w:customStyle="1" w:styleId="140">
    <w:name w:val="Обычный +14"/>
    <w:basedOn w:val="a"/>
    <w:link w:val="14"/>
    <w:rsid w:val="006C02D6"/>
    <w:pPr>
      <w:spacing w:after="0"/>
    </w:pPr>
    <w:rPr>
      <w:sz w:val="28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6C02D6"/>
    <w:pPr>
      <w:tabs>
        <w:tab w:val="center" w:pos="4677"/>
        <w:tab w:val="right" w:pos="9355"/>
      </w:tabs>
      <w:spacing w:after="0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6C02D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C02D6"/>
    <w:pPr>
      <w:tabs>
        <w:tab w:val="center" w:pos="4677"/>
        <w:tab w:val="right" w:pos="9355"/>
      </w:tabs>
      <w:spacing w:after="0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6C02D6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6C02D6"/>
    <w:pPr>
      <w:ind w:left="720"/>
      <w:contextualSpacing/>
    </w:pPr>
    <w:rPr>
      <w:rFonts w:ascii="Calibri" w:eastAsia="Calibri" w:hAnsi="Calibri" w:cs="Times New Roman"/>
    </w:rPr>
  </w:style>
  <w:style w:type="character" w:styleId="af0">
    <w:name w:val="Emphasis"/>
    <w:basedOn w:val="a0"/>
    <w:uiPriority w:val="20"/>
    <w:qFormat/>
    <w:rsid w:val="006C02D6"/>
    <w:rPr>
      <w:i/>
      <w:iCs/>
    </w:rPr>
  </w:style>
  <w:style w:type="character" w:styleId="af1">
    <w:name w:val="Strong"/>
    <w:basedOn w:val="a0"/>
    <w:uiPriority w:val="22"/>
    <w:qFormat/>
    <w:rsid w:val="006C02D6"/>
    <w:rPr>
      <w:b/>
      <w:bCs/>
    </w:rPr>
  </w:style>
  <w:style w:type="paragraph" w:styleId="af2">
    <w:name w:val="No Spacing"/>
    <w:basedOn w:val="a"/>
    <w:link w:val="af3"/>
    <w:qFormat/>
    <w:rsid w:val="006C02D6"/>
    <w:pPr>
      <w:spacing w:before="150" w:after="100" w:afterAutospacing="1"/>
      <w:ind w:firstLine="150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af3">
    <w:name w:val="Без интервала Знак"/>
    <w:basedOn w:val="a0"/>
    <w:link w:val="af2"/>
    <w:rsid w:val="006C02D6"/>
    <w:rPr>
      <w:rFonts w:ascii="Times New Roman" w:eastAsia="Times New Roman" w:hAnsi="Times New Roman" w:cs="Times New Roman"/>
      <w:sz w:val="21"/>
      <w:szCs w:val="21"/>
      <w:lang w:eastAsia="ru-RU"/>
    </w:rPr>
  </w:style>
  <w:style w:type="table" w:customStyle="1" w:styleId="21">
    <w:name w:val="Сетка таблицы2"/>
    <w:basedOn w:val="a1"/>
    <w:next w:val="a3"/>
    <w:uiPriority w:val="59"/>
    <w:rsid w:val="006C02D6"/>
    <w:pPr>
      <w:spacing w:after="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сновной"/>
    <w:basedOn w:val="a"/>
    <w:link w:val="af5"/>
    <w:autoRedefine/>
    <w:qFormat/>
    <w:rsid w:val="006C02D6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Знак"/>
    <w:basedOn w:val="a0"/>
    <w:link w:val="af4"/>
    <w:rsid w:val="006C0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C02D6"/>
    <w:pPr>
      <w:widowControl w:val="0"/>
      <w:autoSpaceDE w:val="0"/>
      <w:autoSpaceDN w:val="0"/>
      <w:spacing w:after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Без интервала1"/>
    <w:rsid w:val="006C02D6"/>
    <w:pPr>
      <w:spacing w:after="0"/>
    </w:pPr>
    <w:rPr>
      <w:rFonts w:ascii="Calibri" w:eastAsia="Times New Roman" w:hAnsi="Calibri" w:cs="Times New Roman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6C02D6"/>
    <w:pPr>
      <w:autoSpaceDE w:val="0"/>
      <w:autoSpaceDN w:val="0"/>
      <w:adjustRightInd w:val="0"/>
      <w:spacing w:after="0"/>
    </w:pPr>
    <w:rPr>
      <w:rFonts w:ascii="Arial" w:eastAsia="Calibri" w:hAnsi="Arial" w:cs="Arial"/>
      <w:sz w:val="24"/>
      <w:szCs w:val="24"/>
    </w:rPr>
  </w:style>
  <w:style w:type="paragraph" w:styleId="af7">
    <w:name w:val="Plain Text"/>
    <w:basedOn w:val="a"/>
    <w:link w:val="af8"/>
    <w:uiPriority w:val="99"/>
    <w:rsid w:val="006C02D6"/>
    <w:pPr>
      <w:spacing w:after="0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8">
    <w:name w:val="Текст Знак"/>
    <w:basedOn w:val="a0"/>
    <w:link w:val="af7"/>
    <w:uiPriority w:val="99"/>
    <w:rsid w:val="006C02D6"/>
    <w:rPr>
      <w:rFonts w:ascii="Courier New" w:eastAsia="Times New Roman" w:hAnsi="Courier New" w:cs="Times New Roman"/>
      <w:sz w:val="20"/>
      <w:szCs w:val="20"/>
    </w:rPr>
  </w:style>
  <w:style w:type="character" w:customStyle="1" w:styleId="FontStyle28">
    <w:name w:val="Font Style28"/>
    <w:rsid w:val="006C02D6"/>
    <w:rPr>
      <w:rFonts w:ascii="Courier New" w:hAnsi="Courier New" w:cs="Courier New"/>
      <w:sz w:val="18"/>
      <w:szCs w:val="18"/>
    </w:rPr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6C02D6"/>
    <w:rPr>
      <w:rFonts w:ascii="Calibri" w:eastAsia="Calibri" w:hAnsi="Calibri" w:cs="Times New Roman"/>
    </w:rPr>
  </w:style>
  <w:style w:type="paragraph" w:styleId="23">
    <w:name w:val="Body Text Indent 2"/>
    <w:basedOn w:val="a"/>
    <w:link w:val="22"/>
    <w:uiPriority w:val="99"/>
    <w:semiHidden/>
    <w:unhideWhenUsed/>
    <w:rsid w:val="006C02D6"/>
    <w:pPr>
      <w:spacing w:line="480" w:lineRule="auto"/>
      <w:ind w:left="283"/>
    </w:pPr>
    <w:rPr>
      <w:rFonts w:ascii="Calibri" w:eastAsia="Calibri" w:hAnsi="Calibri" w:cs="Times New Roman"/>
    </w:rPr>
  </w:style>
  <w:style w:type="paragraph" w:styleId="12">
    <w:name w:val="toc 1"/>
    <w:basedOn w:val="a"/>
    <w:next w:val="a"/>
    <w:autoRedefine/>
    <w:uiPriority w:val="39"/>
    <w:unhideWhenUsed/>
    <w:qFormat/>
    <w:rsid w:val="00B92D1B"/>
    <w:pPr>
      <w:tabs>
        <w:tab w:val="right" w:leader="dot" w:pos="9356"/>
      </w:tabs>
      <w:spacing w:after="100"/>
      <w:ind w:left="567" w:hanging="283"/>
      <w:jc w:val="left"/>
    </w:pPr>
    <w:rPr>
      <w:rFonts w:ascii="Times New Roman" w:eastAsia="Calibri" w:hAnsi="Times New Roman" w:cs="Times New Roman"/>
      <w:bCs/>
      <w:noProof/>
      <w:sz w:val="28"/>
      <w:szCs w:val="28"/>
    </w:rPr>
  </w:style>
  <w:style w:type="paragraph" w:styleId="25">
    <w:name w:val="toc 2"/>
    <w:basedOn w:val="a"/>
    <w:next w:val="a"/>
    <w:autoRedefine/>
    <w:uiPriority w:val="39"/>
    <w:unhideWhenUsed/>
    <w:qFormat/>
    <w:rsid w:val="006C02D6"/>
    <w:pPr>
      <w:spacing w:after="100"/>
      <w:ind w:left="220"/>
    </w:pPr>
    <w:rPr>
      <w:rFonts w:ascii="Calibri" w:eastAsia="Times New Roman" w:hAnsi="Calibri" w:cs="Times New Roman"/>
    </w:rPr>
  </w:style>
  <w:style w:type="paragraph" w:styleId="31">
    <w:name w:val="toc 3"/>
    <w:basedOn w:val="a"/>
    <w:next w:val="a"/>
    <w:autoRedefine/>
    <w:uiPriority w:val="39"/>
    <w:unhideWhenUsed/>
    <w:qFormat/>
    <w:rsid w:val="006C02D6"/>
    <w:pPr>
      <w:spacing w:after="100"/>
      <w:ind w:left="440"/>
    </w:pPr>
    <w:rPr>
      <w:rFonts w:ascii="Calibri" w:eastAsia="Times New Roman" w:hAnsi="Calibri" w:cs="Times New Roman"/>
    </w:rPr>
  </w:style>
  <w:style w:type="character" w:styleId="af9">
    <w:name w:val="Hyperlink"/>
    <w:basedOn w:val="a0"/>
    <w:uiPriority w:val="99"/>
    <w:unhideWhenUsed/>
    <w:rsid w:val="006C02D6"/>
    <w:rPr>
      <w:color w:val="0000FF"/>
      <w:u w:val="single"/>
    </w:rPr>
  </w:style>
  <w:style w:type="paragraph" w:customStyle="1" w:styleId="13">
    <w:name w:val="Список. марк. у1"/>
    <w:basedOn w:val="a"/>
    <w:autoRedefine/>
    <w:qFormat/>
    <w:rsid w:val="006C02D6"/>
    <w:pPr>
      <w:spacing w:after="0"/>
      <w:contextualSpacing/>
    </w:pPr>
    <w:rPr>
      <w:rFonts w:ascii="Times New Roman" w:eastAsia="Calibri" w:hAnsi="Times New Roman" w:cs="Times New Roman"/>
      <w:sz w:val="28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F5083F"/>
    <w:pPr>
      <w:keepNext/>
      <w:keepLines/>
      <w:autoSpaceDE/>
      <w:autoSpaceDN/>
      <w:adjustRightInd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customStyle="1" w:styleId="Standard">
    <w:name w:val="Standard"/>
    <w:rsid w:val="0003528F"/>
    <w:pPr>
      <w:suppressAutoHyphens/>
      <w:autoSpaceDN w:val="0"/>
      <w:textAlignment w:val="baseline"/>
    </w:pPr>
    <w:rPr>
      <w:rFonts w:ascii="Calibri" w:eastAsia="Arial Unicode MS" w:hAnsi="Calibri" w:cs="Calibri"/>
      <w:kern w:val="3"/>
    </w:rPr>
  </w:style>
  <w:style w:type="paragraph" w:customStyle="1" w:styleId="Textbody">
    <w:name w:val="Text body"/>
    <w:basedOn w:val="Standard"/>
    <w:rsid w:val="00346D85"/>
  </w:style>
  <w:style w:type="paragraph" w:customStyle="1" w:styleId="afb">
    <w:name w:val="Нормальный.представление"/>
    <w:rsid w:val="00F54972"/>
    <w:pPr>
      <w:spacing w:after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Обычный.1"/>
    <w:rsid w:val="00720A2F"/>
    <w:pPr>
      <w:spacing w:after="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3A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c">
    <w:name w:val="Title"/>
    <w:basedOn w:val="a"/>
    <w:link w:val="afd"/>
    <w:qFormat/>
    <w:rsid w:val="00806C19"/>
    <w:pPr>
      <w:spacing w:after="0"/>
      <w:ind w:firstLine="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d">
    <w:name w:val="Название Знак"/>
    <w:basedOn w:val="a0"/>
    <w:link w:val="afc"/>
    <w:rsid w:val="00806C1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78"/>
  </w:style>
  <w:style w:type="paragraph" w:styleId="1">
    <w:name w:val="heading 1"/>
    <w:basedOn w:val="a"/>
    <w:next w:val="a"/>
    <w:link w:val="10"/>
    <w:uiPriority w:val="9"/>
    <w:qFormat/>
    <w:rsid w:val="004153CE"/>
    <w:pPr>
      <w:autoSpaceDE w:val="0"/>
      <w:autoSpaceDN w:val="0"/>
      <w:adjustRightInd w:val="0"/>
      <w:spacing w:after="0"/>
      <w:jc w:val="center"/>
      <w:outlineLvl w:val="0"/>
    </w:pPr>
    <w:rPr>
      <w:rFonts w:ascii="Times New Roman" w:eastAsia="Calibri" w:hAnsi="Times New Roman" w:cs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63A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C02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53CE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rsid w:val="006C02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ODY">
    <w:name w:val="_BODY"/>
    <w:basedOn w:val="a"/>
    <w:rsid w:val="00317278"/>
    <w:pPr>
      <w:widowControl w:val="0"/>
      <w:overflowPunct w:val="0"/>
      <w:autoSpaceDE w:val="0"/>
      <w:autoSpaceDN w:val="0"/>
      <w:adjustRightInd w:val="0"/>
      <w:spacing w:after="0" w:line="288" w:lineRule="auto"/>
      <w:textAlignment w:val="baseline"/>
    </w:pPr>
    <w:rPr>
      <w:rFonts w:ascii="Times New Roman" w:eastAsia="Times New Roman" w:hAnsi="Times New Roman" w:cs="Times New Roman"/>
      <w:color w:val="000000"/>
      <w:kern w:val="20"/>
      <w:sz w:val="26"/>
      <w:szCs w:val="20"/>
      <w:lang w:eastAsia="ru-RU"/>
    </w:rPr>
  </w:style>
  <w:style w:type="table" w:styleId="a3">
    <w:name w:val="Table Grid"/>
    <w:basedOn w:val="a1"/>
    <w:uiPriority w:val="59"/>
    <w:rsid w:val="0031727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44EB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4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55A9"/>
    <w:pPr>
      <w:autoSpaceDE w:val="0"/>
      <w:autoSpaceDN w:val="0"/>
      <w:adjustRightInd w:val="0"/>
      <w:spacing w:after="0"/>
    </w:pPr>
    <w:rPr>
      <w:rFonts w:ascii="Times New Roman" w:hAnsi="Times New Roman" w:cs="Times New Roman"/>
      <w:sz w:val="28"/>
      <w:szCs w:val="28"/>
    </w:rPr>
  </w:style>
  <w:style w:type="paragraph" w:customStyle="1" w:styleId="24">
    <w:name w:val="Основной текст 24"/>
    <w:basedOn w:val="a"/>
    <w:rsid w:val="006C02D6"/>
    <w:pPr>
      <w:widowControl w:val="0"/>
      <w:spacing w:after="6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6C02D6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uiPriority w:val="99"/>
    <w:rsid w:val="006C02D6"/>
    <w:pPr>
      <w:widowControl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35">
    <w:name w:val="Стиль Основной текст с отступом + Справа:  -235 см Междустр.интер..."/>
    <w:basedOn w:val="a6"/>
    <w:rsid w:val="006C02D6"/>
    <w:pPr>
      <w:spacing w:after="0" w:line="360" w:lineRule="exact"/>
      <w:ind w:left="0" w:firstLine="56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6C02D6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C02D6"/>
  </w:style>
  <w:style w:type="paragraph" w:styleId="a8">
    <w:name w:val="Normal (Web)"/>
    <w:basedOn w:val="a"/>
    <w:uiPriority w:val="99"/>
    <w:unhideWhenUsed/>
    <w:rsid w:val="006C02D6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6C02D6"/>
    <w:pPr>
      <w:spacing w:line="259" w:lineRule="auto"/>
    </w:pPr>
  </w:style>
  <w:style w:type="character" w:customStyle="1" w:styleId="aa">
    <w:name w:val="Основной текст Знак"/>
    <w:basedOn w:val="a0"/>
    <w:link w:val="a9"/>
    <w:uiPriority w:val="99"/>
    <w:rsid w:val="006C02D6"/>
  </w:style>
  <w:style w:type="character" w:customStyle="1" w:styleId="14">
    <w:name w:val="Обычный +14 Знак"/>
    <w:link w:val="140"/>
    <w:rsid w:val="006C02D6"/>
    <w:rPr>
      <w:sz w:val="28"/>
      <w:szCs w:val="24"/>
      <w:lang w:eastAsia="ru-RU"/>
    </w:rPr>
  </w:style>
  <w:style w:type="paragraph" w:customStyle="1" w:styleId="140">
    <w:name w:val="Обычный +14"/>
    <w:basedOn w:val="a"/>
    <w:link w:val="14"/>
    <w:rsid w:val="006C02D6"/>
    <w:pPr>
      <w:spacing w:after="0"/>
    </w:pPr>
    <w:rPr>
      <w:sz w:val="28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6C02D6"/>
    <w:pPr>
      <w:tabs>
        <w:tab w:val="center" w:pos="4677"/>
        <w:tab w:val="right" w:pos="9355"/>
      </w:tabs>
      <w:spacing w:after="0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6C02D6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C02D6"/>
    <w:pPr>
      <w:tabs>
        <w:tab w:val="center" w:pos="4677"/>
        <w:tab w:val="right" w:pos="9355"/>
      </w:tabs>
      <w:spacing w:after="0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6C02D6"/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6C02D6"/>
    <w:pPr>
      <w:ind w:left="720"/>
      <w:contextualSpacing/>
    </w:pPr>
    <w:rPr>
      <w:rFonts w:ascii="Calibri" w:eastAsia="Calibri" w:hAnsi="Calibri" w:cs="Times New Roman"/>
    </w:rPr>
  </w:style>
  <w:style w:type="character" w:styleId="af0">
    <w:name w:val="Emphasis"/>
    <w:basedOn w:val="a0"/>
    <w:uiPriority w:val="20"/>
    <w:qFormat/>
    <w:rsid w:val="006C02D6"/>
    <w:rPr>
      <w:i/>
      <w:iCs/>
    </w:rPr>
  </w:style>
  <w:style w:type="character" w:styleId="af1">
    <w:name w:val="Strong"/>
    <w:basedOn w:val="a0"/>
    <w:uiPriority w:val="22"/>
    <w:qFormat/>
    <w:rsid w:val="006C02D6"/>
    <w:rPr>
      <w:b/>
      <w:bCs/>
    </w:rPr>
  </w:style>
  <w:style w:type="paragraph" w:styleId="af2">
    <w:name w:val="No Spacing"/>
    <w:basedOn w:val="a"/>
    <w:link w:val="af3"/>
    <w:qFormat/>
    <w:rsid w:val="006C02D6"/>
    <w:pPr>
      <w:spacing w:before="150" w:after="100" w:afterAutospacing="1"/>
      <w:ind w:firstLine="150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af3">
    <w:name w:val="Без интервала Знак"/>
    <w:basedOn w:val="a0"/>
    <w:link w:val="af2"/>
    <w:rsid w:val="006C02D6"/>
    <w:rPr>
      <w:rFonts w:ascii="Times New Roman" w:eastAsia="Times New Roman" w:hAnsi="Times New Roman" w:cs="Times New Roman"/>
      <w:sz w:val="21"/>
      <w:szCs w:val="21"/>
      <w:lang w:eastAsia="ru-RU"/>
    </w:rPr>
  </w:style>
  <w:style w:type="table" w:customStyle="1" w:styleId="21">
    <w:name w:val="Сетка таблицы2"/>
    <w:basedOn w:val="a1"/>
    <w:next w:val="a3"/>
    <w:uiPriority w:val="59"/>
    <w:rsid w:val="006C02D6"/>
    <w:pPr>
      <w:spacing w:after="0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сновной"/>
    <w:basedOn w:val="a"/>
    <w:link w:val="af5"/>
    <w:autoRedefine/>
    <w:qFormat/>
    <w:rsid w:val="006C02D6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Знак"/>
    <w:basedOn w:val="a0"/>
    <w:link w:val="af4"/>
    <w:rsid w:val="006C0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6C02D6"/>
    <w:pPr>
      <w:widowControl w:val="0"/>
      <w:autoSpaceDE w:val="0"/>
      <w:autoSpaceDN w:val="0"/>
      <w:spacing w:after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Без интервала1"/>
    <w:rsid w:val="006C02D6"/>
    <w:pPr>
      <w:spacing w:after="0"/>
    </w:pPr>
    <w:rPr>
      <w:rFonts w:ascii="Calibri" w:eastAsia="Times New Roman" w:hAnsi="Calibri" w:cs="Times New Roman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6C02D6"/>
    <w:pPr>
      <w:autoSpaceDE w:val="0"/>
      <w:autoSpaceDN w:val="0"/>
      <w:adjustRightInd w:val="0"/>
      <w:spacing w:after="0"/>
    </w:pPr>
    <w:rPr>
      <w:rFonts w:ascii="Arial" w:eastAsia="Calibri" w:hAnsi="Arial" w:cs="Arial"/>
      <w:sz w:val="24"/>
      <w:szCs w:val="24"/>
    </w:rPr>
  </w:style>
  <w:style w:type="paragraph" w:styleId="af7">
    <w:name w:val="Plain Text"/>
    <w:basedOn w:val="a"/>
    <w:link w:val="af8"/>
    <w:uiPriority w:val="99"/>
    <w:rsid w:val="006C02D6"/>
    <w:pPr>
      <w:spacing w:after="0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8">
    <w:name w:val="Текст Знак"/>
    <w:basedOn w:val="a0"/>
    <w:link w:val="af7"/>
    <w:uiPriority w:val="99"/>
    <w:rsid w:val="006C02D6"/>
    <w:rPr>
      <w:rFonts w:ascii="Courier New" w:eastAsia="Times New Roman" w:hAnsi="Courier New" w:cs="Times New Roman"/>
      <w:sz w:val="20"/>
      <w:szCs w:val="20"/>
    </w:rPr>
  </w:style>
  <w:style w:type="character" w:customStyle="1" w:styleId="FontStyle28">
    <w:name w:val="Font Style28"/>
    <w:rsid w:val="006C02D6"/>
    <w:rPr>
      <w:rFonts w:ascii="Courier New" w:hAnsi="Courier New" w:cs="Courier New"/>
      <w:sz w:val="18"/>
      <w:szCs w:val="18"/>
    </w:rPr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6C02D6"/>
    <w:rPr>
      <w:rFonts w:ascii="Calibri" w:eastAsia="Calibri" w:hAnsi="Calibri" w:cs="Times New Roman"/>
    </w:rPr>
  </w:style>
  <w:style w:type="paragraph" w:styleId="23">
    <w:name w:val="Body Text Indent 2"/>
    <w:basedOn w:val="a"/>
    <w:link w:val="22"/>
    <w:uiPriority w:val="99"/>
    <w:semiHidden/>
    <w:unhideWhenUsed/>
    <w:rsid w:val="006C02D6"/>
    <w:pPr>
      <w:spacing w:line="480" w:lineRule="auto"/>
      <w:ind w:left="283"/>
    </w:pPr>
    <w:rPr>
      <w:rFonts w:ascii="Calibri" w:eastAsia="Calibri" w:hAnsi="Calibri" w:cs="Times New Roman"/>
    </w:rPr>
  </w:style>
  <w:style w:type="paragraph" w:styleId="12">
    <w:name w:val="toc 1"/>
    <w:basedOn w:val="a"/>
    <w:next w:val="a"/>
    <w:autoRedefine/>
    <w:uiPriority w:val="39"/>
    <w:unhideWhenUsed/>
    <w:qFormat/>
    <w:rsid w:val="00B92D1B"/>
    <w:pPr>
      <w:tabs>
        <w:tab w:val="right" w:leader="dot" w:pos="9356"/>
      </w:tabs>
      <w:spacing w:after="100"/>
      <w:ind w:left="567" w:hanging="283"/>
      <w:jc w:val="left"/>
    </w:pPr>
    <w:rPr>
      <w:rFonts w:ascii="Times New Roman" w:eastAsia="Calibri" w:hAnsi="Times New Roman" w:cs="Times New Roman"/>
      <w:bCs/>
      <w:noProof/>
      <w:sz w:val="28"/>
      <w:szCs w:val="28"/>
    </w:rPr>
  </w:style>
  <w:style w:type="paragraph" w:styleId="25">
    <w:name w:val="toc 2"/>
    <w:basedOn w:val="a"/>
    <w:next w:val="a"/>
    <w:autoRedefine/>
    <w:uiPriority w:val="39"/>
    <w:unhideWhenUsed/>
    <w:qFormat/>
    <w:rsid w:val="006C02D6"/>
    <w:pPr>
      <w:spacing w:after="100"/>
      <w:ind w:left="220"/>
    </w:pPr>
    <w:rPr>
      <w:rFonts w:ascii="Calibri" w:eastAsia="Times New Roman" w:hAnsi="Calibri" w:cs="Times New Roman"/>
    </w:rPr>
  </w:style>
  <w:style w:type="paragraph" w:styleId="31">
    <w:name w:val="toc 3"/>
    <w:basedOn w:val="a"/>
    <w:next w:val="a"/>
    <w:autoRedefine/>
    <w:uiPriority w:val="39"/>
    <w:unhideWhenUsed/>
    <w:qFormat/>
    <w:rsid w:val="006C02D6"/>
    <w:pPr>
      <w:spacing w:after="100"/>
      <w:ind w:left="440"/>
    </w:pPr>
    <w:rPr>
      <w:rFonts w:ascii="Calibri" w:eastAsia="Times New Roman" w:hAnsi="Calibri" w:cs="Times New Roman"/>
    </w:rPr>
  </w:style>
  <w:style w:type="character" w:styleId="af9">
    <w:name w:val="Hyperlink"/>
    <w:basedOn w:val="a0"/>
    <w:uiPriority w:val="99"/>
    <w:unhideWhenUsed/>
    <w:rsid w:val="006C02D6"/>
    <w:rPr>
      <w:color w:val="0000FF"/>
      <w:u w:val="single"/>
    </w:rPr>
  </w:style>
  <w:style w:type="paragraph" w:customStyle="1" w:styleId="13">
    <w:name w:val="Список. марк. у1"/>
    <w:basedOn w:val="a"/>
    <w:autoRedefine/>
    <w:qFormat/>
    <w:rsid w:val="006C02D6"/>
    <w:pPr>
      <w:spacing w:after="0"/>
      <w:contextualSpacing/>
    </w:pPr>
    <w:rPr>
      <w:rFonts w:ascii="Times New Roman" w:eastAsia="Calibri" w:hAnsi="Times New Roman" w:cs="Times New Roman"/>
      <w:sz w:val="28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F5083F"/>
    <w:pPr>
      <w:keepNext/>
      <w:keepLines/>
      <w:autoSpaceDE/>
      <w:autoSpaceDN/>
      <w:adjustRightInd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customStyle="1" w:styleId="Standard">
    <w:name w:val="Standard"/>
    <w:rsid w:val="0003528F"/>
    <w:pPr>
      <w:suppressAutoHyphens/>
      <w:autoSpaceDN w:val="0"/>
      <w:textAlignment w:val="baseline"/>
    </w:pPr>
    <w:rPr>
      <w:rFonts w:ascii="Calibri" w:eastAsia="Arial Unicode MS" w:hAnsi="Calibri" w:cs="Calibri"/>
      <w:kern w:val="3"/>
    </w:rPr>
  </w:style>
  <w:style w:type="paragraph" w:customStyle="1" w:styleId="Textbody">
    <w:name w:val="Text body"/>
    <w:basedOn w:val="Standard"/>
    <w:rsid w:val="00346D85"/>
  </w:style>
  <w:style w:type="paragraph" w:customStyle="1" w:styleId="afb">
    <w:name w:val="Нормальный.представление"/>
    <w:rsid w:val="00F54972"/>
    <w:pPr>
      <w:spacing w:after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Обычный.1"/>
    <w:rsid w:val="00720A2F"/>
    <w:pPr>
      <w:spacing w:after="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3A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c">
    <w:name w:val="Title"/>
    <w:basedOn w:val="a"/>
    <w:link w:val="afd"/>
    <w:qFormat/>
    <w:rsid w:val="00806C19"/>
    <w:pPr>
      <w:spacing w:after="0"/>
      <w:ind w:firstLine="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d">
    <w:name w:val="Название Знак"/>
    <w:basedOn w:val="a0"/>
    <w:link w:val="afc"/>
    <w:rsid w:val="00806C1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8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26" Type="http://schemas.openxmlformats.org/officeDocument/2006/relationships/chart" Target="charts/chart20.xml"/><Relationship Id="rId3" Type="http://schemas.openxmlformats.org/officeDocument/2006/relationships/styles" Target="styles.xml"/><Relationship Id="rId21" Type="http://schemas.openxmlformats.org/officeDocument/2006/relationships/chart" Target="charts/chart15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5" Type="http://schemas.openxmlformats.org/officeDocument/2006/relationships/chart" Target="charts/chart19.xml"/><Relationship Id="rId2" Type="http://schemas.openxmlformats.org/officeDocument/2006/relationships/numbering" Target="numbering.xml"/><Relationship Id="rId16" Type="http://schemas.openxmlformats.org/officeDocument/2006/relationships/chart" Target="charts/chart10.xml"/><Relationship Id="rId20" Type="http://schemas.openxmlformats.org/officeDocument/2006/relationships/chart" Target="charts/chart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5.xml"/><Relationship Id="rId24" Type="http://schemas.openxmlformats.org/officeDocument/2006/relationships/chart" Target="charts/chart18.xml"/><Relationship Id="rId5" Type="http://schemas.openxmlformats.org/officeDocument/2006/relationships/settings" Target="settings.xml"/><Relationship Id="rId15" Type="http://schemas.openxmlformats.org/officeDocument/2006/relationships/chart" Target="charts/chart9.xml"/><Relationship Id="rId23" Type="http://schemas.openxmlformats.org/officeDocument/2006/relationships/chart" Target="charts/chart17.xml"/><Relationship Id="rId28" Type="http://schemas.openxmlformats.org/officeDocument/2006/relationships/theme" Target="theme/theme1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4" Type="http://schemas.microsoft.com/office/2007/relationships/stylesWithEffects" Target="stylesWithEffect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chart" Target="charts/chart16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C:\Documents%20and%20Settings\&#1052;&#1072;&#1084;&#1072;\&#1056;&#1072;&#1073;&#1086;&#1095;&#1080;&#1081;%20&#1089;&#1090;&#1086;&#1083;\&#1056;&#1072;&#1079;&#1088;&#1072;&#1073;&#1086;&#1090;&#1086;&#1095;&#1085;&#1099;&#1077;%20&#1090;&#1072;&#1073;&#1083;&#1080;&#1094;&#1099;%20&#1076;&#1086;%202019\&#1043;&#1088;&#1072;&#1092;&#1080;&#1082;&#1080;%205.%20&#1087;&#1086;&#1090;&#1088;&#1077;&#1073;%20&#1088;&#1099;&#1085;&#1086;&#1082;.xlsx" TargetMode="External"/><Relationship Id="rId1" Type="http://schemas.openxmlformats.org/officeDocument/2006/relationships/themeOverride" Target="../theme/themeOverride9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10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1.xm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3.bin"/><Relationship Id="rId1" Type="http://schemas.openxmlformats.org/officeDocument/2006/relationships/themeOverride" Target="../theme/themeOverride12.xm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.xlsx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3.xm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Sumenko\Desktop\&#1052;&#1040;&#1058;&#1042;&#1048;&#1045;&#1053;&#1050;&#1054;\&#1055;&#1056;&#1054;&#1043;&#1053;&#1054;&#1047;\2014-2016\&#1060;&#1088;&#1072;&#1075;&#1084;&#1077;&#1085;&#1090;&#1099;%20&#1087;&#1088;&#1086;&#1075;&#1085;&#1086;&#1079;&#1072;\&#1052;&#1086;&#1083;&#1086;&#1076;&#1077;&#1078;&#1085;&#1072;&#1103;%20&#1087;&#1086;&#1083;&#1080;&#1090;&#1080;&#1082;&#1072;\&#1051;&#1080;&#1089;&#1090;%20Microsoft%20Office%20Excel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erver\share\!&#1059;&#1060;\Budjet\1%20&#1076;&#1077;&#1083;&#1086;%2004-03-04%20&#1041;&#1070;&#1044;&#1046;&#1045;&#1058;\&#1041;&#1102;&#1076;&#1078;&#1077;&#1090;%202017\&#1087;&#1088;&#1086;&#1075;&#1085;&#1086;&#1079;%20&#1057;&#1069;&#1056;\2016-09-29%20&#1055;&#1088;&#1086;&#1075;&#1086;&#1085;&#1086;&#1079;%20&#1057;&#1047;&#1056;%202017-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leserver\share\!&#1059;&#1060;\Budjet\1%20&#1076;&#1077;&#1083;&#1086;%2004-03-04%20&#1041;&#1070;&#1044;&#1046;&#1045;&#1058;\&#1041;&#1102;&#1076;&#1078;&#1077;&#1090;%202017\&#1087;&#1088;&#1086;&#1075;&#1085;&#1086;&#1079;%20&#1057;&#1069;&#1056;\2016-10-19%20&#1055;&#1088;&#1086;&#1075;&#1085;&#1086;&#1079;%20&#1057;&#1069;&#1056;%202017-201%202\2016-10-19%20&#1055;&#1088;&#1086;&#1075;&#1086;&#1085;&#1086;&#1079;%20&#1057;&#1047;&#1056;%202017-2019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6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168981481481394"/>
          <c:y val="2.4466157188069604E-5"/>
          <c:w val="0.43101766747790149"/>
          <c:h val="0.999975530250727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effectLst>
              <a:outerShdw blurRad="50800" dist="38100" dir="8100000" algn="tr" rotWithShape="0">
                <a:prstClr val="black">
                  <a:alpha val="40000"/>
                </a:prstClr>
              </a:outerShdw>
            </a:effectLst>
            <a:scene3d>
              <a:camera prst="orthographicFront"/>
              <a:lightRig rig="threePt" dir="t"/>
            </a:scene3d>
            <a:sp3d>
              <a:bevelT w="165100" prst="coolSlant"/>
            </a:sp3d>
          </c:spPr>
          <c:explosion val="24"/>
          <c:dLbls>
            <c:dLbl>
              <c:idx val="0"/>
              <c:layout>
                <c:manualLayout>
                  <c:x val="4.4585987261146501E-2"/>
                  <c:y val="5.925925925925926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6.1571125265392768E-2"/>
                  <c:y val="-0.1481481481481481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369426751592358E-2"/>
                  <c:y val="8.888888888888887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добыча полезных ископаемых</c:v>
                </c:pt>
                <c:pt idx="1">
                  <c:v>обрабатывающие производства</c:v>
                </c:pt>
                <c:pt idx="2">
                  <c:v>производство и распрелделение электроэнергии, газа и воды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0.32000000000000006</c:v>
                </c:pt>
                <c:pt idx="1">
                  <c:v>81.599999999999994</c:v>
                </c:pt>
                <c:pt idx="2">
                  <c:v>18.130000000000003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7">
          <a:noFill/>
        </a:ln>
      </c:spPr>
    </c:plotArea>
    <c:legend>
      <c:legendPos val="r"/>
      <c:layout>
        <c:manualLayout>
          <c:xMode val="edge"/>
          <c:yMode val="edge"/>
          <c:x val="0.57029103970405703"/>
          <c:y val="3.1949319588063527E-3"/>
          <c:w val="0.4259157035083655"/>
          <c:h val="0.59698821605014862"/>
        </c:manualLayout>
      </c:layout>
      <c:overlay val="0"/>
    </c:legend>
    <c:plotVisOnly val="1"/>
    <c:dispBlanksAs val="zero"/>
    <c:showDLblsOverMax val="0"/>
  </c:chart>
  <c:spPr>
    <a:solidFill>
      <a:sysClr val="window" lastClr="FFFFFF"/>
    </a:solidFill>
    <a:ln w="6350" cap="flat" cmpd="sng" algn="ctr">
      <a:solidFill>
        <a:sysClr val="windowText" lastClr="000000"/>
      </a:solidFill>
      <a:prstDash val="solid"/>
    </a:ln>
    <a:effectLst/>
  </c:spPr>
  <c:txPr>
    <a:bodyPr/>
    <a:lstStyle/>
    <a:p>
      <a:pPr>
        <a:defRPr>
          <a:solidFill>
            <a:sysClr val="windowText" lastClr="000000"/>
          </a:solidFill>
          <a:latin typeface="+mn-lt"/>
          <a:ea typeface="+mn-ea"/>
          <a:cs typeface="+mn-cs"/>
        </a:defRPr>
      </a:pPr>
      <a:endParaRPr lang="ru-RU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3.0555555555555579E-2"/>
          <c:y val="5.0925925925925923E-2"/>
          <c:w val="0.93888888888888955"/>
          <c:h val="0.62806509055340853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Лист1!$B$1:$H$1</c:f>
              <c:strCach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 (оценка)</c:v>
                </c:pt>
              </c:strCache>
            </c:strRef>
          </c:cat>
          <c:val>
            <c:numRef>
              <c:f>Лист1!$B$2:$H$2</c:f>
              <c:numCache>
                <c:formatCode>0.0</c:formatCode>
                <c:ptCount val="7"/>
                <c:pt idx="0">
                  <c:v>43</c:v>
                </c:pt>
                <c:pt idx="1">
                  <c:v>44.2</c:v>
                </c:pt>
                <c:pt idx="2">
                  <c:v>44</c:v>
                </c:pt>
                <c:pt idx="3">
                  <c:v>43.5</c:v>
                </c:pt>
                <c:pt idx="4">
                  <c:v>43</c:v>
                </c:pt>
                <c:pt idx="5">
                  <c:v>40.300000000000011</c:v>
                </c:pt>
                <c:pt idx="6">
                  <c:v>40.200000000000003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Пищевые продукты, включая напитки и табачные изделия 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Лист1!$B$1:$H$1</c:f>
              <c:strCach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 (оценка)</c:v>
                </c:pt>
              </c:strCache>
            </c:strRef>
          </c:cat>
          <c:val>
            <c:numRef>
              <c:f>Лист1!$B$3:$H$3</c:f>
              <c:numCache>
                <c:formatCode>0.0</c:formatCode>
                <c:ptCount val="7"/>
                <c:pt idx="0">
                  <c:v>57</c:v>
                </c:pt>
                <c:pt idx="1">
                  <c:v>55.8</c:v>
                </c:pt>
                <c:pt idx="2">
                  <c:v>56</c:v>
                </c:pt>
                <c:pt idx="3">
                  <c:v>56.5</c:v>
                </c:pt>
                <c:pt idx="4">
                  <c:v>57</c:v>
                </c:pt>
                <c:pt idx="5">
                  <c:v>59.7</c:v>
                </c:pt>
                <c:pt idx="6">
                  <c:v>59.8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8"/>
        <c:overlap val="100"/>
        <c:axId val="239851008"/>
        <c:axId val="239852544"/>
      </c:barChart>
      <c:catAx>
        <c:axId val="239851008"/>
        <c:scaling>
          <c:orientation val="minMax"/>
        </c:scaling>
        <c:delete val="0"/>
        <c:axPos val="b"/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1100" b="0"/>
            </a:pPr>
            <a:endParaRPr lang="ru-RU"/>
          </a:p>
        </c:txPr>
        <c:crossAx val="239852544"/>
        <c:crosses val="autoZero"/>
        <c:auto val="1"/>
        <c:lblAlgn val="ctr"/>
        <c:lblOffset val="100"/>
        <c:noMultiLvlLbl val="0"/>
      </c:catAx>
      <c:valAx>
        <c:axId val="239852544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23985100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"/>
          <c:y val="0.80661118151055766"/>
          <c:w val="0.83860385872818533"/>
          <c:h val="0.17343567348199124"/>
        </c:manualLayout>
      </c:layout>
      <c:overlay val="0"/>
      <c:txPr>
        <a:bodyPr/>
        <a:lstStyle/>
        <a:p>
          <a:pPr>
            <a:defRPr sz="105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884034716018273"/>
          <c:y val="2.8700091219324517E-2"/>
          <c:w val="0.83304940374787184"/>
          <c:h val="0.69843976046379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Объём платных услуг населению, млн. рублей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5.8506310850018443E-3"/>
                  <c:y val="-0.22173204896629606"/>
                </c:manualLayout>
              </c:layout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8506310850018443E-3"/>
                  <c:y val="-5.637255482193964E-2"/>
                </c:manualLayout>
              </c:layout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5.8506310850018981E-3"/>
                  <c:y val="-0.20294119735898281"/>
                </c:manualLayout>
              </c:layout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4136914289122226E-3"/>
                  <c:y val="-4.7902943136169579E-2"/>
                </c:manualLayout>
              </c:layout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8506310850018443E-3"/>
                  <c:y val="-0.15032681285850572"/>
                </c:manualLayout>
              </c:layout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"/>
                  <c:y val="-5.637255482193964E-2"/>
                </c:manualLayout>
              </c:layout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solidFill>
                <a:srgbClr val="4BACC6">
                  <a:lumMod val="20000"/>
                  <a:lumOff val="80000"/>
                </a:srgbClr>
              </a:solidFill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 оценка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14809.7</c:v>
                </c:pt>
                <c:pt idx="1">
                  <c:v>16293.4</c:v>
                </c:pt>
                <c:pt idx="2">
                  <c:v>19804.2</c:v>
                </c:pt>
                <c:pt idx="3">
                  <c:v>20283.21</c:v>
                </c:pt>
                <c:pt idx="4">
                  <c:v>20380.099999999988</c:v>
                </c:pt>
                <c:pt idx="5">
                  <c:v>21249.66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45"/>
        <c:axId val="239814144"/>
        <c:axId val="239815680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физического объёма платных услуг населению, в процентах  к предущему году </c:v>
                </c:pt>
              </c:strCache>
            </c:strRef>
          </c:tx>
          <c:dLbls>
            <c:dLbl>
              <c:idx val="0"/>
              <c:layout>
                <c:manualLayout>
                  <c:x val="-3.7466026203784017E-2"/>
                  <c:y val="5.28359943194044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5423442879874107E-2"/>
                  <c:y val="-5.3054711857826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7993066232129505E-3"/>
                  <c:y val="-4.2348855051322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123400194875176E-2"/>
                  <c:y val="-6.5284185595802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0954484979613501E-2"/>
                  <c:y val="-8.8455465644119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3879733137513817E-2"/>
                  <c:y val="-6.01307251434023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solidFill>
                <a:srgbClr val="4BACC6">
                  <a:lumMod val="20000"/>
                  <a:lumOff val="80000"/>
                </a:srgbClr>
              </a:solidFill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 оценка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108.5</c:v>
                </c:pt>
                <c:pt idx="1">
                  <c:v>103.6</c:v>
                </c:pt>
                <c:pt idx="2">
                  <c:v>105.4</c:v>
                </c:pt>
                <c:pt idx="3">
                  <c:v>100.4</c:v>
                </c:pt>
                <c:pt idx="4">
                  <c:v>95.7</c:v>
                </c:pt>
                <c:pt idx="5">
                  <c:v>97.4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0792320"/>
        <c:axId val="240793856"/>
      </c:lineChart>
      <c:catAx>
        <c:axId val="239814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39815680"/>
        <c:crosses val="autoZero"/>
        <c:auto val="1"/>
        <c:lblAlgn val="ctr"/>
        <c:lblOffset val="100"/>
        <c:noMultiLvlLbl val="0"/>
      </c:catAx>
      <c:valAx>
        <c:axId val="239815680"/>
        <c:scaling>
          <c:orientation val="minMax"/>
          <c:max val="23000"/>
          <c:min val="0"/>
        </c:scaling>
        <c:delete val="0"/>
        <c:axPos val="l"/>
        <c:numFmt formatCode="0.0" sourceLinked="1"/>
        <c:majorTickMark val="out"/>
        <c:minorTickMark val="none"/>
        <c:tickLblPos val="nextTo"/>
        <c:crossAx val="239814144"/>
        <c:crosses val="autoZero"/>
        <c:crossBetween val="between"/>
        <c:majorUnit val="5000"/>
      </c:valAx>
      <c:catAx>
        <c:axId val="24079232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40793856"/>
        <c:crosses val="autoZero"/>
        <c:auto val="1"/>
        <c:lblAlgn val="ctr"/>
        <c:lblOffset val="100"/>
        <c:noMultiLvlLbl val="0"/>
      </c:catAx>
      <c:valAx>
        <c:axId val="240793856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crossAx val="240792320"/>
        <c:crosses val="max"/>
        <c:crossBetween val="between"/>
      </c:valAx>
    </c:plotArea>
    <c:legend>
      <c:legendPos val="b"/>
      <c:layout>
        <c:manualLayout>
          <c:xMode val="edge"/>
          <c:yMode val="edge"/>
          <c:x val="0"/>
          <c:y val="0.81655593858189934"/>
          <c:w val="1"/>
          <c:h val="0.15964807224674593"/>
        </c:manualLayout>
      </c:layout>
      <c:overlay val="0"/>
    </c:legend>
    <c:plotVisOnly val="1"/>
    <c:dispBlanksAs val="zero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виды услуг</c:v>
                </c:pt>
              </c:strCache>
            </c:strRef>
          </c:tx>
          <c:explosion val="25"/>
          <c:dPt>
            <c:idx val="1"/>
            <c:bubble3D val="0"/>
            <c:explosion val="21"/>
          </c:dPt>
          <c:dPt>
            <c:idx val="2"/>
            <c:bubble3D val="0"/>
            <c:explosion val="28"/>
          </c:dPt>
          <c:dLbls>
            <c:dLbl>
              <c:idx val="0"/>
              <c:layout>
                <c:manualLayout>
                  <c:x val="1.9545603674540721E-3"/>
                  <c:y val="-4.3328333958255423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5946660891357145"/>
                  <c:y val="-2.7272331792277875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310768445611001E-2"/>
                  <c:y val="-2.4233632767735418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7.8932451151940586E-2"/>
                  <c:y val="-3.6566485527337253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Лист1!$A$2:$A$9</c:f>
              <c:strCache>
                <c:ptCount val="8"/>
                <c:pt idx="0">
                  <c:v>бытовые</c:v>
                </c:pt>
                <c:pt idx="1">
                  <c:v>транспортные </c:v>
                </c:pt>
                <c:pt idx="2">
                  <c:v>связи </c:v>
                </c:pt>
                <c:pt idx="3">
                  <c:v>жилищные </c:v>
                </c:pt>
                <c:pt idx="4">
                  <c:v>комунальные </c:v>
                </c:pt>
                <c:pt idx="5">
                  <c:v>туристические</c:v>
                </c:pt>
                <c:pt idx="6">
                  <c:v>системы образования</c:v>
                </c:pt>
                <c:pt idx="7">
                  <c:v>прочие</c:v>
                </c:pt>
              </c:strCache>
            </c:strRef>
          </c:cat>
          <c:val>
            <c:numRef>
              <c:f>Лист1!$B$2:$B$9</c:f>
              <c:numCache>
                <c:formatCode>0.0%</c:formatCode>
                <c:ptCount val="8"/>
                <c:pt idx="0">
                  <c:v>6.0000000000000026E-2</c:v>
                </c:pt>
                <c:pt idx="1">
                  <c:v>0.255</c:v>
                </c:pt>
                <c:pt idx="2">
                  <c:v>0.20700000000000007</c:v>
                </c:pt>
                <c:pt idx="3">
                  <c:v>9.5000000000000043E-2</c:v>
                </c:pt>
                <c:pt idx="4">
                  <c:v>0.223</c:v>
                </c:pt>
                <c:pt idx="5">
                  <c:v>2.1999999999999999E-2</c:v>
                </c:pt>
                <c:pt idx="6">
                  <c:v>4.1000000000000002E-2</c:v>
                </c:pt>
                <c:pt idx="7">
                  <c:v>9.7000000000000003E-2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plotVisOnly val="1"/>
    <c:dispBlanksAs val="zero"/>
    <c:showDLblsOverMax val="0"/>
  </c:chart>
  <c:spPr>
    <a:ln>
      <a:noFill/>
    </a:ln>
  </c:spPr>
  <c:txPr>
    <a:bodyPr/>
    <a:lstStyle/>
    <a:p>
      <a:pPr>
        <a:defRPr b="1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>
                <a:latin typeface="Times New Roman" pitchFamily="18" charset="0"/>
                <a:cs typeface="Times New Roman" pitchFamily="18" charset="0"/>
              </a:rPr>
              <a:t>Рождаемость</a:t>
            </a:r>
            <a:r>
              <a:rPr lang="ru-RU" sz="1200" b="1" baseline="0">
                <a:latin typeface="Times New Roman" pitchFamily="18" charset="0"/>
                <a:cs typeface="Times New Roman" pitchFamily="18" charset="0"/>
              </a:rPr>
              <a:t> и смертность</a:t>
            </a:r>
          </a:p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baseline="0">
                <a:latin typeface="Times New Roman" pitchFamily="18" charset="0"/>
                <a:cs typeface="Times New Roman" pitchFamily="18" charset="0"/>
              </a:rPr>
              <a:t> на 1 000 человек населения</a:t>
            </a:r>
            <a:endParaRPr lang="ru-RU" sz="1200" b="1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3002187226596672E-2"/>
          <c:y val="0.22084499854184894"/>
          <c:w val="0.89539623776144928"/>
          <c:h val="0.5458928590101536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Лист2!$B$30</c:f>
              <c:strCache>
                <c:ptCount val="1"/>
                <c:pt idx="0">
                  <c:v>Коэффициент рождаемости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-1.3888888888888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9.5465393794749547E-3"/>
                  <c:y val="-9.25925925925927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-3.24074074074074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-1.3888888888888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Лист2!$D$28:$J$29</c:f>
              <c:strCach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 оценка</c:v>
                </c:pt>
              </c:strCache>
            </c:strRef>
          </c:cat>
          <c:val>
            <c:numRef>
              <c:f>Лист2!$D$30:$J$30</c:f>
              <c:numCache>
                <c:formatCode>#,##0.0</c:formatCode>
                <c:ptCount val="7"/>
                <c:pt idx="0">
                  <c:v>12.8</c:v>
                </c:pt>
                <c:pt idx="1">
                  <c:v>11.9</c:v>
                </c:pt>
                <c:pt idx="2">
                  <c:v>13.2</c:v>
                </c:pt>
                <c:pt idx="3">
                  <c:v>13</c:v>
                </c:pt>
                <c:pt idx="4">
                  <c:v>13.3</c:v>
                </c:pt>
                <c:pt idx="5" formatCode="0.0">
                  <c:v>13.4</c:v>
                </c:pt>
                <c:pt idx="6" formatCode="General">
                  <c:v>13.3</c:v>
                </c:pt>
              </c:numCache>
            </c:numRef>
          </c:val>
        </c:ser>
        <c:ser>
          <c:idx val="1"/>
          <c:order val="1"/>
          <c:tx>
            <c:strRef>
              <c:f>Лист2!$B$31</c:f>
              <c:strCache>
                <c:ptCount val="1"/>
                <c:pt idx="0">
                  <c:v>Коэффициент смертности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9.5465393794749269E-3"/>
                  <c:y val="9.25925925925927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2275258552108216E-2"/>
                  <c:y val="4.62962962962963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2728719172633254E-2"/>
                  <c:y val="1.3888888888888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272871917263325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909307875894988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86396181384248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3.500397772474132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Лист2!$D$28:$J$29</c:f>
              <c:strCach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 оценка</c:v>
                </c:pt>
              </c:strCache>
            </c:strRef>
          </c:cat>
          <c:val>
            <c:numRef>
              <c:f>Лист2!$D$31:$J$31</c:f>
              <c:numCache>
                <c:formatCode>#,##0.0</c:formatCode>
                <c:ptCount val="7"/>
                <c:pt idx="0">
                  <c:v>12.1</c:v>
                </c:pt>
                <c:pt idx="1">
                  <c:v>11.5</c:v>
                </c:pt>
                <c:pt idx="2">
                  <c:v>11</c:v>
                </c:pt>
                <c:pt idx="3">
                  <c:v>10.8</c:v>
                </c:pt>
                <c:pt idx="4">
                  <c:v>10.7</c:v>
                </c:pt>
                <c:pt idx="5" formatCode="0.0">
                  <c:v>10.9</c:v>
                </c:pt>
                <c:pt idx="6" formatCode="General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shape val="cylinder"/>
        <c:axId val="240881664"/>
        <c:axId val="240883200"/>
        <c:axId val="0"/>
      </c:bar3DChart>
      <c:catAx>
        <c:axId val="2408816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9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40883200"/>
        <c:crosses val="autoZero"/>
        <c:auto val="1"/>
        <c:lblAlgn val="ctr"/>
        <c:lblOffset val="100"/>
        <c:noMultiLvlLbl val="0"/>
      </c:catAx>
      <c:valAx>
        <c:axId val="240883200"/>
        <c:scaling>
          <c:orientation val="minMax"/>
        </c:scaling>
        <c:delete val="0"/>
        <c:axPos val="l"/>
        <c:majorGridlines/>
        <c:numFmt formatCode="#,##0.0" sourceLinked="1"/>
        <c:majorTickMark val="none"/>
        <c:minorTickMark val="none"/>
        <c:tickLblPos val="nextTo"/>
        <c:spPr>
          <a:ln w="9525">
            <a:noFill/>
          </a:ln>
        </c:spPr>
        <c:crossAx val="24088166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5.9546602020809476E-2"/>
          <c:y val="0.86961382815195909"/>
          <c:w val="0.89999987471733089"/>
          <c:h val="9.0115130031056895E-2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971164971682601"/>
          <c:y val="6.9200890704988416E-2"/>
          <c:w val="0.86525699912510934"/>
          <c:h val="0.5791473461650626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'[Диаграмма в C  Users NKazakova Documents Прогнозы  2019 Нормативка Прогоз 2016-2018 одобр 2353 приложение 1 к прогнозу (Пояснительная записка).doc]Лист1'!$A$4</c:f>
              <c:strCache>
                <c:ptCount val="1"/>
                <c:pt idx="0">
                  <c:v>моложе трудоспособного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'[Диаграмма в C  Users NKazakova Documents Прогнозы  2019 Нормативка Прогоз 2016-2018 одобр 2353 приложение 1 к прогнозу (Пояснительная записка).doc]Лист1'!$D$3:$J$3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'[Диаграмма в C  Users NKazakova Documents Прогнозы  2019 Нормативка Прогоз 2016-2018 одобр 2353 приложение 1 к прогнозу (Пояснительная записка).doc]Лист1'!$D$4:$J$4</c:f>
              <c:numCache>
                <c:formatCode>0.0</c:formatCode>
                <c:ptCount val="7"/>
                <c:pt idx="0">
                  <c:v>16.5</c:v>
                </c:pt>
                <c:pt idx="1">
                  <c:v>17.899999999999999</c:v>
                </c:pt>
                <c:pt idx="2">
                  <c:v>16.2</c:v>
                </c:pt>
                <c:pt idx="3">
                  <c:v>16.3</c:v>
                </c:pt>
                <c:pt idx="4">
                  <c:v>16.577545960560666</c:v>
                </c:pt>
                <c:pt idx="5">
                  <c:v>17.100000000000001</c:v>
                </c:pt>
                <c:pt idx="6">
                  <c:v>17.5</c:v>
                </c:pt>
              </c:numCache>
            </c:numRef>
          </c:val>
        </c:ser>
        <c:ser>
          <c:idx val="1"/>
          <c:order val="1"/>
          <c:tx>
            <c:strRef>
              <c:f>'[Диаграмма в C  Users NKazakova Documents Прогнозы  2019 Нормативка Прогоз 2016-2018 одобр 2353 приложение 1 к прогнозу (Пояснительная записка).doc]Лист1'!$A$5</c:f>
              <c:strCache>
                <c:ptCount val="1"/>
                <c:pt idx="0">
                  <c:v> трудоспособное 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'[Диаграмма в C  Users NKazakova Documents Прогнозы  2019 Нормативка Прогоз 2016-2018 одобр 2353 приложение 1 к прогнозу (Пояснительная записка).doc]Лист1'!$D$3:$J$3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'[Диаграмма в C  Users NKazakova Documents Прогнозы  2019 Нормативка Прогоз 2016-2018 одобр 2353 приложение 1 к прогнозу (Пояснительная записка).doc]Лист1'!$D$5:$J$5</c:f>
              <c:numCache>
                <c:formatCode>0.0</c:formatCode>
                <c:ptCount val="7"/>
                <c:pt idx="0">
                  <c:v>66</c:v>
                </c:pt>
                <c:pt idx="1">
                  <c:v>66</c:v>
                </c:pt>
                <c:pt idx="2">
                  <c:v>65.599999999999994</c:v>
                </c:pt>
                <c:pt idx="3">
                  <c:v>65.3</c:v>
                </c:pt>
                <c:pt idx="4">
                  <c:v>64.82368330313993</c:v>
                </c:pt>
                <c:pt idx="5" formatCode="0.00">
                  <c:v>63.8</c:v>
                </c:pt>
                <c:pt idx="6">
                  <c:v>63</c:v>
                </c:pt>
              </c:numCache>
            </c:numRef>
          </c:val>
        </c:ser>
        <c:ser>
          <c:idx val="2"/>
          <c:order val="2"/>
          <c:tx>
            <c:strRef>
              <c:f>'[Диаграмма в C  Users NKazakova Documents Прогнозы  2019 Нормативка Прогоз 2016-2018 одобр 2353 приложение 1 к прогнозу (Пояснительная записка).doc]Лист1'!$A$6</c:f>
              <c:strCache>
                <c:ptCount val="1"/>
                <c:pt idx="0">
                  <c:v> старше трудоспособного </c:v>
                </c:pt>
              </c:strCache>
            </c:strRef>
          </c:tx>
          <c:spPr>
            <a:solidFill>
              <a:schemeClr val="tx2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-4.6296296296296337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'[Диаграмма в C  Users NKazakova Documents Прогнозы  2019 Нормативка Прогоз 2016-2018 одобр 2353 приложение 1 к прогнозу (Пояснительная записка).doc]Лист1'!$D$3:$J$3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'[Диаграмма в C  Users NKazakova Documents Прогнозы  2019 Нормативка Прогоз 2016-2018 одобр 2353 приложение 1 к прогнозу (Пояснительная записка).doc]Лист1'!$D$6:$J$6</c:f>
              <c:numCache>
                <c:formatCode>0.0</c:formatCode>
                <c:ptCount val="7"/>
                <c:pt idx="0">
                  <c:v>17.5</c:v>
                </c:pt>
                <c:pt idx="1">
                  <c:v>16.100000000000001</c:v>
                </c:pt>
                <c:pt idx="2">
                  <c:v>18.2</c:v>
                </c:pt>
                <c:pt idx="3">
                  <c:v>18.399999999999999</c:v>
                </c:pt>
                <c:pt idx="4">
                  <c:v>18.598770736299404</c:v>
                </c:pt>
                <c:pt idx="5">
                  <c:v>19.100000000000001</c:v>
                </c:pt>
                <c:pt idx="6" formatCode="General">
                  <c:v>19.5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244884608"/>
        <c:axId val="244886144"/>
      </c:barChart>
      <c:catAx>
        <c:axId val="244884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44886144"/>
        <c:crosses val="autoZero"/>
        <c:auto val="1"/>
        <c:lblAlgn val="ctr"/>
        <c:lblOffset val="100"/>
        <c:noMultiLvlLbl val="0"/>
      </c:catAx>
      <c:valAx>
        <c:axId val="244886144"/>
        <c:scaling>
          <c:orientation val="minMax"/>
          <c:max val="100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44884608"/>
        <c:crosses val="autoZero"/>
        <c:crossBetween val="between"/>
        <c:majorUnit val="20"/>
      </c:valAx>
    </c:plotArea>
    <c:legend>
      <c:legendPos val="b"/>
      <c:layout>
        <c:manualLayout>
          <c:xMode val="edge"/>
          <c:yMode val="edge"/>
          <c:x val="0"/>
          <c:y val="0.81925944823907326"/>
          <c:w val="1"/>
          <c:h val="0.12383671885372305"/>
        </c:manualLayout>
      </c:layout>
      <c:overlay val="0"/>
      <c:txPr>
        <a:bodyPr/>
        <a:lstStyle/>
        <a:p>
          <a:pPr>
            <a:defRPr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dk1" tx1="lt1" bg2="dk2" tx2="lt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994407452583668E-2"/>
          <c:y val="0.12437305766227075"/>
          <c:w val="0.87604475122036529"/>
          <c:h val="0.5461376714291694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Лист1!$A$8</c:f>
              <c:strCache>
                <c:ptCount val="1"/>
                <c:pt idx="0">
                  <c:v>Среднегодовая численность населения, тыс. человек</c:v>
                </c:pt>
              </c:strCache>
            </c:strRef>
          </c:tx>
          <c:spPr>
            <a:gradFill flip="none" rotWithShape="1">
              <a:gsLst>
                <a:gs pos="0">
                  <a:srgbClr val="FF9933">
                    <a:shade val="30000"/>
                    <a:satMod val="115000"/>
                  </a:srgbClr>
                </a:gs>
                <a:gs pos="50000">
                  <a:srgbClr val="FF9933">
                    <a:shade val="67500"/>
                    <a:satMod val="115000"/>
                  </a:srgbClr>
                </a:gs>
                <a:gs pos="100000">
                  <a:srgbClr val="FF9933">
                    <a:shade val="100000"/>
                    <a:satMod val="115000"/>
                  </a:srgbClr>
                </a:gs>
              </a:gsLst>
              <a:lin ang="10800000" scaled="1"/>
              <a:tileRect/>
            </a:gradFill>
            <a:ln>
              <a:noFill/>
            </a:ln>
            <a:effectLst/>
          </c:spPr>
          <c:invertIfNegative val="0"/>
          <c:dLbls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181,34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 cap="flat" cmpd="sng" algn="ctr">
                <a:noFill/>
                <a:prstDash val="solid"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Лист1!$B$6:$J$7</c:f>
              <c:multiLvlStrCache>
                <c:ptCount val="7"/>
                <c:lvl>
                  <c:pt idx="4">
                    <c:v>1 вар. </c:v>
                  </c:pt>
                  <c:pt idx="5">
                    <c:v>1 вар.</c:v>
                  </c:pt>
                  <c:pt idx="6">
                    <c:v>1 вар.</c:v>
                  </c:pt>
                </c:lvl>
                <c:lvl>
                  <c:pt idx="0">
                    <c:v>2013</c:v>
                  </c:pt>
                  <c:pt idx="1">
                    <c:v>2014</c:v>
                  </c:pt>
                  <c:pt idx="2">
                    <c:v>2015</c:v>
                  </c:pt>
                  <c:pt idx="3">
                    <c:v>оценка 2016</c:v>
                  </c:pt>
                  <c:pt idx="4">
                    <c:v>2017</c:v>
                  </c:pt>
                  <c:pt idx="5">
                    <c:v>2018</c:v>
                  </c:pt>
                  <c:pt idx="6">
                    <c:v>2019</c:v>
                  </c:pt>
                </c:lvl>
              </c:multiLvlStrCache>
            </c:multiLvlStrRef>
          </c:cat>
          <c:val>
            <c:numRef>
              <c:f>Лист1!$B$8:$J$8</c:f>
              <c:numCache>
                <c:formatCode>#,##0.00</c:formatCode>
                <c:ptCount val="7"/>
                <c:pt idx="0">
                  <c:v>182.17</c:v>
                </c:pt>
                <c:pt idx="1">
                  <c:v>181.863</c:v>
                </c:pt>
                <c:pt idx="2">
                  <c:v>180.989</c:v>
                </c:pt>
                <c:pt idx="3">
                  <c:v>181.09399999999999</c:v>
                </c:pt>
                <c:pt idx="4">
                  <c:v>181.345</c:v>
                </c:pt>
                <c:pt idx="5">
                  <c:v>181.69900000000001</c:v>
                </c:pt>
                <c:pt idx="6">
                  <c:v>182.25899999999999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axId val="248012800"/>
        <c:axId val="247994624"/>
      </c:barChart>
      <c:lineChart>
        <c:grouping val="standard"/>
        <c:varyColors val="0"/>
        <c:ser>
          <c:idx val="1"/>
          <c:order val="1"/>
          <c:tx>
            <c:strRef>
              <c:f>Лист1!$A$9</c:f>
              <c:strCache>
                <c:ptCount val="1"/>
                <c:pt idx="0">
                  <c:v>Общий коэффициент рождаемости</c:v>
                </c:pt>
              </c:strCache>
            </c:strRef>
          </c:tx>
          <c:spPr>
            <a:ln w="88900" cap="rnd" cmpd="thinThick">
              <a:solidFill>
                <a:srgbClr val="00B050"/>
              </a:solidFill>
              <a:round/>
            </a:ln>
            <a:effectLst/>
          </c:spPr>
          <c:marker>
            <c:symbol val="triangle"/>
            <c:size val="8"/>
            <c:spPr>
              <a:solidFill>
                <a:srgbClr val="C0504D">
                  <a:lumMod val="75000"/>
                </a:srgbClr>
              </a:solidFill>
              <a:ln w="9525">
                <a:solidFill>
                  <a:srgbClr val="00B05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3974832172420776E-2"/>
                  <c:y val="-4.70121878262595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313507386096012E-2"/>
                  <c:y val="-5.8642184036696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638147194741681E-2"/>
                  <c:y val="-5.521837205663615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13,41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048076923077004E-2"/>
                  <c:y val="-4.8279910635145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8349032993471971E-2"/>
                  <c:y val="-4.63275054632530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3796681865087455E-2"/>
                  <c:y val="-4.593694439586885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13,25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6283446340040829E-2"/>
                  <c:y val="-4.916267468704093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13,16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6317486898538092E-3"/>
                  <c:y val="-5.42448209721583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1.0895246069561295E-2"/>
                  <c:y val="3.2546892583294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7.2634973797076185E-3"/>
                  <c:y val="3.9779535379582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3.6317486898538092E-3"/>
                  <c:y val="3.6163213981438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9.0793717246345235E-3"/>
                  <c:y val="3.6163213981438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 cap="flat" cmpd="sng" algn="ctr">
                <a:noFill/>
                <a:prstDash val="solid"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Лист1!$B$6:$J$7</c:f>
              <c:multiLvlStrCache>
                <c:ptCount val="7"/>
                <c:lvl>
                  <c:pt idx="4">
                    <c:v>1 вар. </c:v>
                  </c:pt>
                  <c:pt idx="5">
                    <c:v>1 вар.</c:v>
                  </c:pt>
                  <c:pt idx="6">
                    <c:v>1 вар.</c:v>
                  </c:pt>
                </c:lvl>
                <c:lvl>
                  <c:pt idx="0">
                    <c:v>2013</c:v>
                  </c:pt>
                  <c:pt idx="1">
                    <c:v>2014</c:v>
                  </c:pt>
                  <c:pt idx="2">
                    <c:v>2015</c:v>
                  </c:pt>
                  <c:pt idx="3">
                    <c:v>оценка 2016</c:v>
                  </c:pt>
                  <c:pt idx="4">
                    <c:v>2017</c:v>
                  </c:pt>
                  <c:pt idx="5">
                    <c:v>2018</c:v>
                  </c:pt>
                  <c:pt idx="6">
                    <c:v>2019</c:v>
                  </c:pt>
                </c:lvl>
              </c:multiLvlStrCache>
            </c:multiLvlStrRef>
          </c:cat>
          <c:val>
            <c:numRef>
              <c:f>Лист1!$B$9:$J$9</c:f>
              <c:numCache>
                <c:formatCode>#,##0.00</c:formatCode>
                <c:ptCount val="7"/>
                <c:pt idx="0">
                  <c:v>13.02</c:v>
                </c:pt>
                <c:pt idx="1">
                  <c:v>13.29</c:v>
                </c:pt>
                <c:pt idx="2">
                  <c:v>13.42</c:v>
                </c:pt>
                <c:pt idx="3">
                  <c:v>13.31</c:v>
                </c:pt>
                <c:pt idx="4">
                  <c:v>13.24</c:v>
                </c:pt>
                <c:pt idx="5">
                  <c:v>13.26</c:v>
                </c:pt>
                <c:pt idx="6">
                  <c:v>13.17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Лист1!$A$10</c:f>
              <c:strCache>
                <c:ptCount val="1"/>
                <c:pt idx="0">
                  <c:v>Общий коэффициент смертности</c:v>
                </c:pt>
              </c:strCache>
            </c:strRef>
          </c:tx>
          <c:spPr>
            <a:ln w="88900" cap="sq" cmpd="tri">
              <a:solidFill>
                <a:srgbClr val="7030A0"/>
              </a:solidFill>
              <a:round/>
            </a:ln>
            <a:effectLst/>
          </c:spPr>
          <c:marker>
            <c:symbol val="diamond"/>
            <c:size val="8"/>
            <c:spPr>
              <a:solidFill>
                <a:srgbClr val="4F81BD">
                  <a:lumMod val="75000"/>
                </a:srgbClr>
              </a:solidFill>
            </c:spPr>
          </c:marker>
          <c:dLbls>
            <c:dLbl>
              <c:idx val="0"/>
              <c:layout>
                <c:manualLayout>
                  <c:x val="-8.9378443355011536E-2"/>
                  <c:y val="3.803803094883545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dk1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sz="1000" b="1" dirty="0" smtClean="0"/>
                      <a:t>10,80</a:t>
                    </a:r>
                    <a:endParaRPr lang="en-US" dirty="0"/>
                  </a:p>
                </c:rich>
              </c:tx>
              <c:spPr>
                <a:noFill/>
                <a:ln w="25400" cap="flat" cmpd="sng" algn="ctr">
                  <a:noFill/>
                  <a:prstDash val="solid"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</c:extLst>
            </c:dLbl>
            <c:dLbl>
              <c:idx val="1"/>
              <c:layout>
                <c:manualLayout>
                  <c:x val="-8.9288517179496568E-2"/>
                  <c:y val="5.40838634046700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8.3059249250506201E-2"/>
                  <c:y val="4.0609956333179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4283226250333548E-2"/>
                  <c:y val="4.461656879061731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11,04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8.6248521940678738E-2"/>
                  <c:y val="3.445261786593564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11,18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7.1115908627157567E-2"/>
                  <c:y val="5.080447216822628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11,17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8.198422269775911E-2"/>
                  <c:y val="5.558042578411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0"/>
                  <c:y val="3.9779535379582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1.8158743449269046E-3"/>
                  <c:y val="4.339585677772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0"/>
                  <c:y val="4.339585677772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1.8158743449269046E-3"/>
                  <c:y val="4.70121781758704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0895246069561429E-2"/>
                  <c:y val="3.6163213981438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 cap="flat" cmpd="sng" algn="ctr">
                <a:noFill/>
                <a:prstDash val="solid"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Лист1!$B$6:$J$7</c:f>
              <c:multiLvlStrCache>
                <c:ptCount val="7"/>
                <c:lvl>
                  <c:pt idx="4">
                    <c:v>1 вар. </c:v>
                  </c:pt>
                  <c:pt idx="5">
                    <c:v>1 вар.</c:v>
                  </c:pt>
                  <c:pt idx="6">
                    <c:v>1 вар.</c:v>
                  </c:pt>
                </c:lvl>
                <c:lvl>
                  <c:pt idx="0">
                    <c:v>2013</c:v>
                  </c:pt>
                  <c:pt idx="1">
                    <c:v>2014</c:v>
                  </c:pt>
                  <c:pt idx="2">
                    <c:v>2015</c:v>
                  </c:pt>
                  <c:pt idx="3">
                    <c:v>оценка 2016</c:v>
                  </c:pt>
                  <c:pt idx="4">
                    <c:v>2017</c:v>
                  </c:pt>
                  <c:pt idx="5">
                    <c:v>2018</c:v>
                  </c:pt>
                  <c:pt idx="6">
                    <c:v>2019</c:v>
                  </c:pt>
                </c:lvl>
              </c:multiLvlStrCache>
            </c:multiLvlStrRef>
          </c:cat>
          <c:val>
            <c:numRef>
              <c:f>Лист1!$B$10:$J$10</c:f>
              <c:numCache>
                <c:formatCode>#,##0.00</c:formatCode>
                <c:ptCount val="7"/>
                <c:pt idx="0">
                  <c:v>10.8</c:v>
                </c:pt>
                <c:pt idx="1">
                  <c:v>10.68</c:v>
                </c:pt>
                <c:pt idx="2">
                  <c:v>10.88</c:v>
                </c:pt>
                <c:pt idx="3">
                  <c:v>11.21</c:v>
                </c:pt>
                <c:pt idx="4">
                  <c:v>11.19</c:v>
                </c:pt>
                <c:pt idx="5">
                  <c:v>11.18</c:v>
                </c:pt>
                <c:pt idx="6">
                  <c:v>11.17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7806976"/>
        <c:axId val="247993088"/>
      </c:lineChart>
      <c:catAx>
        <c:axId val="247806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bg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47993088"/>
        <c:crosses val="autoZero"/>
        <c:auto val="1"/>
        <c:lblAlgn val="ctr"/>
        <c:lblOffset val="100"/>
        <c:noMultiLvlLbl val="1"/>
      </c:catAx>
      <c:valAx>
        <c:axId val="247993088"/>
        <c:scaling>
          <c:orientation val="minMax"/>
          <c:max val="2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shade val="95000"/>
                <a:satMod val="105000"/>
              </a:schemeClr>
            </a:solidFill>
            <a:prstDash val="solid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bg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47806976"/>
        <c:crosses val="autoZero"/>
        <c:crossBetween val="between"/>
        <c:majorUnit val="5"/>
        <c:minorUnit val="1"/>
      </c:valAx>
      <c:valAx>
        <c:axId val="247994624"/>
        <c:scaling>
          <c:orientation val="minMax"/>
          <c:max val="190"/>
          <c:min val="100"/>
        </c:scaling>
        <c:delete val="0"/>
        <c:axPos val="r"/>
        <c:numFmt formatCode="#,##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bg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48012800"/>
        <c:crosses val="max"/>
        <c:crossBetween val="between"/>
      </c:valAx>
      <c:catAx>
        <c:axId val="24801280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47994624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80167077274849852"/>
          <c:w val="1"/>
          <c:h val="0.1832061542179994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9525">
      <a:solidFill>
        <a:sysClr val="windowText" lastClr="000000"/>
      </a:solidFill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2496572394604664E-2"/>
          <c:y val="2.5630628506765993E-2"/>
          <c:w val="0.88383549163792541"/>
          <c:h val="0.8448124802813971"/>
        </c:manualLayout>
      </c:layout>
      <c:areaChart>
        <c:grouping val="standard"/>
        <c:varyColors val="0"/>
        <c:ser>
          <c:idx val="0"/>
          <c:order val="0"/>
          <c:tx>
            <c:strRef>
              <c:f>Лист1!$B$5</c:f>
              <c:strCache>
                <c:ptCount val="1"/>
                <c:pt idx="0">
                  <c:v>Сальдо миграции, чел.</c:v>
                </c:pt>
              </c:strCache>
            </c:strRef>
          </c:tx>
          <c:spPr>
            <a:solidFill>
              <a:srgbClr val="92D050"/>
            </a:solidFill>
            <a:ln w="24194" cap="flat" cmpd="sng" algn="ctr">
              <a:solidFill>
                <a:schemeClr val="dk1"/>
              </a:solidFill>
              <a:prstDash val="solid"/>
            </a:ln>
            <a:effectLst/>
          </c:spPr>
          <c:dLbls>
            <c:dLbl>
              <c:idx val="0"/>
              <c:layout>
                <c:manualLayout>
                  <c:x val="-2.8019731576106179E-2"/>
                  <c:y val="0.1554493156386142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138437482548725E-2"/>
                  <c:y val="1.16997267924629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3487760838405837E-2"/>
                  <c:y val="-0.166655523558276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4224751066856331E-3"/>
                  <c:y val="5.8058478489529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5.9925093632958802E-2"/>
                  <c:y val="-0.1754171846940185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055415945347258E-2"/>
                  <c:y val="-0.118421169220855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4.49438202247191E-2"/>
                  <c:y val="0.236842105263157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2.8540114918067672E-2"/>
                  <c:y val="0.101645148005795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2.6257434392535927E-2"/>
                  <c:y val="7.63492449896778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2.8449502133711616E-3"/>
                  <c:y val="-4.83822241422731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6.5646666143972399E-3"/>
                  <c:y val="3.35730729683942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rgbClr val="92D050">
                  <a:alpha val="45000"/>
                </a:srgbClr>
              </a:solidFill>
              <a:ln w="12097">
                <a:solidFill>
                  <a:schemeClr val="accent3">
                    <a:lumMod val="60000"/>
                    <a:lumOff val="40000"/>
                  </a:schemeClr>
                </a:solidFill>
              </a:ln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Лист1!$E$4:$P$4</c:f>
              <c:strCach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 оценка</c:v>
                </c:pt>
                <c:pt idx="9">
                  <c:v>2017 прогоз</c:v>
                </c:pt>
                <c:pt idx="10">
                  <c:v>2018 прогоз</c:v>
                </c:pt>
                <c:pt idx="11">
                  <c:v>2019 прогоз</c:v>
                </c:pt>
              </c:strCache>
            </c:strRef>
          </c:cat>
          <c:val>
            <c:numRef>
              <c:f>Лист1!$E$5:$P$5</c:f>
              <c:numCache>
                <c:formatCode>General</c:formatCode>
                <c:ptCount val="12"/>
                <c:pt idx="0">
                  <c:v>-1030</c:v>
                </c:pt>
                <c:pt idx="1">
                  <c:v>71</c:v>
                </c:pt>
                <c:pt idx="2">
                  <c:v>919</c:v>
                </c:pt>
                <c:pt idx="3">
                  <c:v>-3</c:v>
                </c:pt>
                <c:pt idx="4">
                  <c:v>1437</c:v>
                </c:pt>
                <c:pt idx="5">
                  <c:v>694</c:v>
                </c:pt>
                <c:pt idx="6">
                  <c:v>-2170</c:v>
                </c:pt>
                <c:pt idx="7">
                  <c:v>-510</c:v>
                </c:pt>
                <c:pt idx="8">
                  <c:v>-149</c:v>
                </c:pt>
                <c:pt idx="9">
                  <c:v>-150</c:v>
                </c:pt>
                <c:pt idx="10">
                  <c:v>90</c:v>
                </c:pt>
                <c:pt idx="11">
                  <c:v>288</c:v>
                </c:pt>
              </c:numCache>
            </c:numRef>
          </c:val>
        </c:ser>
        <c:ser>
          <c:idx val="1"/>
          <c:order val="1"/>
          <c:tx>
            <c:strRef>
              <c:f>Лист1!$B$6</c:f>
              <c:strCache>
                <c:ptCount val="1"/>
                <c:pt idx="0">
                  <c:v>Сальдо естественного движения населения, чел.</c:v>
                </c:pt>
              </c:strCache>
            </c:strRef>
          </c:tx>
          <c:spPr>
            <a:solidFill>
              <a:srgbClr val="FF9900">
                <a:alpha val="91000"/>
              </a:srgbClr>
            </a:solidFill>
            <a:ln w="24194" cap="flat" cmpd="sng" algn="ctr">
              <a:solidFill>
                <a:schemeClr val="dk1"/>
              </a:solidFill>
              <a:prstDash val="solid"/>
            </a:ln>
            <a:effectLst>
              <a:softEdge rad="0"/>
            </a:effectLst>
            <a:scene3d>
              <a:camera prst="orthographicFront"/>
              <a:lightRig rig="threePt" dir="t"/>
            </a:scene3d>
          </c:spPr>
          <c:dLbls>
            <c:dLbl>
              <c:idx val="0"/>
              <c:layout>
                <c:manualLayout>
                  <c:x val="-2.9115615867165542E-2"/>
                  <c:y val="-7.01755375207255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2803638309256483E-3"/>
                  <c:y val="-9.21052631578947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-2.1929824561403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5647226173541962E-2"/>
                  <c:y val="-5.65428196017342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8912529550827422E-3"/>
                  <c:y val="-2.6850863590900245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2759601706970129E-2"/>
                  <c:y val="-1.1337631351071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9269373243238214E-3"/>
                  <c:y val="-0.105229608447281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7.8472430380091133E-17"/>
                  <c:y val="-9.21052631578947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6.420545746388443E-3"/>
                  <c:y val="-8.3333333333333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8.5339980145575228E-3"/>
                  <c:y val="-7.3660125222212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7825059101654845E-3"/>
                  <c:y val="-9.88917306052855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1.7021276595744681E-2"/>
                  <c:y val="-8.8661551577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rgbClr val="FFE6C1">
                  <a:alpha val="65000"/>
                </a:srgbClr>
              </a:solidFill>
              <a:ln>
                <a:solidFill>
                  <a:srgbClr val="FFCC66"/>
                </a:solidFill>
              </a:ln>
            </c:spPr>
            <c:txPr>
              <a:bodyPr/>
              <a:lstStyle/>
              <a:p>
                <a:pPr>
                  <a:defRPr sz="12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Лист1!$E$4:$P$4</c:f>
              <c:strCach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 оценка</c:v>
                </c:pt>
                <c:pt idx="9">
                  <c:v>2017 прогоз</c:v>
                </c:pt>
                <c:pt idx="10">
                  <c:v>2018 прогоз</c:v>
                </c:pt>
                <c:pt idx="11">
                  <c:v>2019 прогоз</c:v>
                </c:pt>
              </c:strCache>
            </c:strRef>
          </c:cat>
          <c:val>
            <c:numRef>
              <c:f>Лист1!$E$6:$P$6</c:f>
              <c:numCache>
                <c:formatCode>General</c:formatCode>
                <c:ptCount val="12"/>
                <c:pt idx="0">
                  <c:v>252</c:v>
                </c:pt>
                <c:pt idx="1">
                  <c:v>223</c:v>
                </c:pt>
                <c:pt idx="2">
                  <c:v>126</c:v>
                </c:pt>
                <c:pt idx="3">
                  <c:v>76</c:v>
                </c:pt>
                <c:pt idx="4">
                  <c:v>397</c:v>
                </c:pt>
                <c:pt idx="5">
                  <c:v>399</c:v>
                </c:pt>
                <c:pt idx="6">
                  <c:v>474</c:v>
                </c:pt>
                <c:pt idx="7">
                  <c:v>459</c:v>
                </c:pt>
                <c:pt idx="8">
                  <c:v>411</c:v>
                </c:pt>
                <c:pt idx="9">
                  <c:v>372</c:v>
                </c:pt>
                <c:pt idx="10">
                  <c:v>378</c:v>
                </c:pt>
                <c:pt idx="11">
                  <c:v>364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48116736"/>
        <c:axId val="248118272"/>
      </c:areaChart>
      <c:catAx>
        <c:axId val="248116736"/>
        <c:scaling>
          <c:orientation val="minMax"/>
        </c:scaling>
        <c:delete val="0"/>
        <c:axPos val="b"/>
        <c:majorGridlines/>
        <c:numFmt formatCode="General" sourceLinked="1"/>
        <c:majorTickMark val="cross"/>
        <c:minorTickMark val="none"/>
        <c:tickLblPos val="nextTo"/>
        <c:spPr>
          <a:ln>
            <a:solidFill>
              <a:schemeClr val="accent3">
                <a:lumMod val="40000"/>
                <a:lumOff val="60000"/>
              </a:schemeClr>
            </a:solidFill>
          </a:ln>
        </c:spPr>
        <c:txPr>
          <a:bodyPr/>
          <a:lstStyle/>
          <a:p>
            <a:pPr>
              <a:defRPr sz="1000" b="1" i="1">
                <a:solidFill>
                  <a:schemeClr val="accent4">
                    <a:lumMod val="60000"/>
                    <a:lumOff val="40000"/>
                  </a:schemeClr>
                </a:solidFill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48118272"/>
        <c:crosses val="autoZero"/>
        <c:auto val="1"/>
        <c:lblAlgn val="ctr"/>
        <c:lblOffset val="100"/>
        <c:noMultiLvlLbl val="0"/>
      </c:catAx>
      <c:valAx>
        <c:axId val="248118272"/>
        <c:scaling>
          <c:orientation val="minMax"/>
          <c:max val="1500"/>
          <c:min val="-2200"/>
        </c:scaling>
        <c:delete val="0"/>
        <c:axPos val="l"/>
        <c:majorGridlines>
          <c:spPr>
            <a:ln w="3175"/>
          </c:spPr>
        </c:majorGridlines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b="0">
                <a:solidFill>
                  <a:srgbClr val="7030A0"/>
                </a:solidFill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48116736"/>
        <c:crosses val="autoZero"/>
        <c:crossBetween val="midCat"/>
        <c:majorUnit val="400"/>
        <c:minorUnit val="300"/>
      </c:valAx>
      <c:spPr>
        <a:solidFill>
          <a:schemeClr val="accent5">
            <a:lumMod val="20000"/>
            <a:lumOff val="80000"/>
            <a:alpha val="29000"/>
          </a:schemeClr>
        </a:solidFill>
        <a:ln w="25385">
          <a:noFill/>
        </a:ln>
      </c:spPr>
    </c:plotArea>
    <c:legend>
      <c:legendPos val="b"/>
      <c:layout>
        <c:manualLayout>
          <c:xMode val="edge"/>
          <c:yMode val="edge"/>
          <c:x val="1.0738374779947477E-2"/>
          <c:y val="0.90091715798019623"/>
          <c:w val="0.98579923778184453"/>
          <c:h val="7.632058274881437E-2"/>
        </c:manualLayout>
      </c:layout>
      <c:overlay val="0"/>
      <c:txPr>
        <a:bodyPr/>
        <a:lstStyle/>
        <a:p>
          <a:pPr>
            <a:defRPr sz="1000" b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022038828312793"/>
          <c:y val="9.6360113398627323E-2"/>
          <c:w val="0.82216359227641644"/>
          <c:h val="0.613219607087286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Лист1!$A$4:$C$4</c:f>
              <c:strCache>
                <c:ptCount val="1"/>
                <c:pt idx="0">
                  <c:v>Средняя номинальная начисленная заработная плата работников организаций, рублей</c:v>
                </c:pt>
              </c:strCache>
            </c:strRef>
          </c:tx>
          <c:spPr>
            <a:gradFill flip="none" rotWithShape="1">
              <a:gsLst>
                <a:gs pos="0">
                  <a:srgbClr val="4F81BD">
                    <a:shade val="30000"/>
                    <a:satMod val="115000"/>
                  </a:srgbClr>
                </a:gs>
                <a:gs pos="50000">
                  <a:srgbClr val="4F81BD">
                    <a:shade val="67500"/>
                    <a:satMod val="115000"/>
                  </a:srgbClr>
                </a:gs>
                <a:gs pos="100000">
                  <a:srgbClr val="4F81BD">
                    <a:shade val="100000"/>
                    <a:satMod val="115000"/>
                  </a:srgbClr>
                </a:gs>
              </a:gsLst>
              <a:lin ang="10800000" scaled="1"/>
              <a:tileRect/>
            </a:gradFill>
            <a:ln w="12700"/>
          </c:spPr>
          <c:invertIfNegative val="0"/>
          <c:dLbls>
            <c:dLbl>
              <c:idx val="1"/>
              <c:layout>
                <c:manualLayout>
                  <c:x val="1.3227513227513227E-2"/>
                  <c:y val="0.152624644942041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0582010582010581E-2"/>
                  <c:y val="0.3777808372027056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5.3014206557513641E-3"/>
                  <c:y val="0.1968177610143452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9365079365079361E-3"/>
                  <c:y val="0.4302241511988729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1.5873224180310796E-2"/>
                  <c:y val="0.2412319313103085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9.7000643108723759E-17"/>
                  <c:y val="0.4448300735683968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7.9522846224939873E-3"/>
                  <c:y val="0.2486209489567516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" sourceLinked="0"/>
            <c:spPr>
              <a:solidFill>
                <a:schemeClr val="accent5">
                  <a:lumMod val="20000"/>
                  <a:lumOff val="80000"/>
                </a:schemeClr>
              </a:solidFill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Лист1!$H$2:$M$3</c:f>
              <c:strCache>
                <c:ptCount val="6"/>
                <c:pt idx="0">
                  <c:v>2014</c:v>
                </c:pt>
                <c:pt idx="1">
                  <c:v>2015</c:v>
                </c:pt>
                <c:pt idx="2">
                  <c:v>2016     оценка</c:v>
                </c:pt>
                <c:pt idx="3">
                  <c:v>2017     вар. 1</c:v>
                </c:pt>
                <c:pt idx="4">
                  <c:v>2018     вар. 1</c:v>
                </c:pt>
                <c:pt idx="5">
                  <c:v>2019     вар. 1</c:v>
                </c:pt>
              </c:strCache>
            </c:strRef>
          </c:cat>
          <c:val>
            <c:numRef>
              <c:f>Лист1!$H$4:$M$4</c:f>
              <c:numCache>
                <c:formatCode>#,##0</c:formatCode>
                <c:ptCount val="6"/>
                <c:pt idx="0">
                  <c:v>56264</c:v>
                </c:pt>
                <c:pt idx="1">
                  <c:v>60575</c:v>
                </c:pt>
                <c:pt idx="2">
                  <c:v>62816</c:v>
                </c:pt>
                <c:pt idx="3">
                  <c:v>66640</c:v>
                </c:pt>
                <c:pt idx="4" formatCode="General">
                  <c:v>70489</c:v>
                </c:pt>
                <c:pt idx="5" formatCode="General">
                  <c:v>73881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248035584"/>
        <c:axId val="248463360"/>
      </c:barChart>
      <c:lineChart>
        <c:grouping val="standard"/>
        <c:varyColors val="0"/>
        <c:ser>
          <c:idx val="1"/>
          <c:order val="1"/>
          <c:tx>
            <c:strRef>
              <c:f>Лист1!$A$5:$C$5</c:f>
              <c:strCache>
                <c:ptCount val="1"/>
                <c:pt idx="0">
                  <c:v>Реальная заработная  плата работников организаций, в % к предыдущему году</c:v>
                </c:pt>
              </c:strCache>
            </c:strRef>
          </c:tx>
          <c:spPr>
            <a:ln w="38100">
              <a:solidFill>
                <a:srgbClr val="FF00FF"/>
              </a:solidFill>
              <a:prstDash val="solid"/>
            </a:ln>
          </c:spPr>
          <c:marker>
            <c:spPr>
              <a:solidFill>
                <a:srgbClr val="FF00FF"/>
              </a:solidFill>
              <a:ln w="38100"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97,6</a:t>
                    </a:r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6216931216931214E-2"/>
                  <c:y val="-9.0589295102956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8862433862433762E-2"/>
                  <c:y val="-0.1046614186140952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Лист1!$H$2:$M$3</c:f>
              <c:strCache>
                <c:ptCount val="6"/>
                <c:pt idx="0">
                  <c:v>2014</c:v>
                </c:pt>
                <c:pt idx="1">
                  <c:v>2015</c:v>
                </c:pt>
                <c:pt idx="2">
                  <c:v>2016     оценка</c:v>
                </c:pt>
                <c:pt idx="3">
                  <c:v>2017     вар. 1</c:v>
                </c:pt>
                <c:pt idx="4">
                  <c:v>2018     вар. 1</c:v>
                </c:pt>
                <c:pt idx="5">
                  <c:v>2019     вар. 1</c:v>
                </c:pt>
              </c:strCache>
            </c:strRef>
          </c:cat>
          <c:val>
            <c:numRef>
              <c:f>Лист1!$H$5:$M$5</c:f>
              <c:numCache>
                <c:formatCode>#,##0.00</c:formatCode>
                <c:ptCount val="6"/>
                <c:pt idx="0">
                  <c:v>102.7</c:v>
                </c:pt>
                <c:pt idx="1">
                  <c:v>96.2</c:v>
                </c:pt>
                <c:pt idx="2">
                  <c:v>97.92</c:v>
                </c:pt>
                <c:pt idx="3">
                  <c:v>100.56</c:v>
                </c:pt>
                <c:pt idx="4">
                  <c:v>101.22</c:v>
                </c:pt>
                <c:pt idx="5">
                  <c:v>100.78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8466432"/>
        <c:axId val="248464896"/>
      </c:lineChart>
      <c:catAx>
        <c:axId val="24803558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48463360"/>
        <c:crosses val="autoZero"/>
        <c:auto val="1"/>
        <c:lblAlgn val="ctr"/>
        <c:lblOffset val="100"/>
        <c:noMultiLvlLbl val="0"/>
      </c:catAx>
      <c:valAx>
        <c:axId val="248463360"/>
        <c:scaling>
          <c:orientation val="minMax"/>
          <c:max val="75000"/>
          <c:min val="0"/>
        </c:scaling>
        <c:delete val="0"/>
        <c:axPos val="l"/>
        <c:numFmt formatCode="#,##0" sourceLinked="1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48035584"/>
        <c:crosses val="autoZero"/>
        <c:crossBetween val="between"/>
        <c:majorUnit val="15000"/>
        <c:minorUnit val="5000"/>
      </c:valAx>
      <c:valAx>
        <c:axId val="248464896"/>
        <c:scaling>
          <c:orientation val="minMax"/>
          <c:max val="115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48466432"/>
        <c:crosses val="max"/>
        <c:crossBetween val="between"/>
        <c:majorUnit val="10"/>
        <c:minorUnit val="0.2"/>
      </c:valAx>
      <c:catAx>
        <c:axId val="2484664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48464896"/>
        <c:crosses val="autoZero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0"/>
          <c:y val="0.83413454703376766"/>
          <c:w val="1"/>
          <c:h val="0.16586545296623237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 w="12700">
      <a:solidFill>
        <a:schemeClr val="tx1"/>
      </a:solidFill>
    </a:ln>
  </c:sp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gradFill flip="none" rotWithShape="1">
              <a:gsLst>
                <a:gs pos="0">
                  <a:schemeClr val="accent1">
                    <a:shade val="30000"/>
                    <a:satMod val="115000"/>
                  </a:schemeClr>
                </a:gs>
                <a:gs pos="50000">
                  <a:schemeClr val="accent1">
                    <a:shade val="67500"/>
                    <a:satMod val="115000"/>
                  </a:schemeClr>
                </a:gs>
                <a:gs pos="100000">
                  <a:schemeClr val="accent1">
                    <a:shade val="100000"/>
                    <a:satMod val="115000"/>
                  </a:schemeClr>
                </a:gs>
              </a:gsLst>
              <a:lin ang="10800000" scaled="1"/>
              <a:tileRect/>
            </a:gra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Лист1!$B$5:$J$5</c:f>
              <c:strCache>
                <c:ptCount val="9"/>
                <c:pt idx="0">
                  <c:v>2008 год</c:v>
                </c:pt>
                <c:pt idx="1">
                  <c:v>2009 год</c:v>
                </c:pt>
                <c:pt idx="2">
                  <c:v>2010 год</c:v>
                </c:pt>
                <c:pt idx="3">
                  <c:v>2011 год</c:v>
                </c:pt>
                <c:pt idx="4">
                  <c:v>2012 год</c:v>
                </c:pt>
                <c:pt idx="5">
                  <c:v>2013 год </c:v>
                </c:pt>
                <c:pt idx="6">
                  <c:v>2014 год </c:v>
                </c:pt>
                <c:pt idx="7">
                  <c:v>2015 год </c:v>
                </c:pt>
                <c:pt idx="8">
                  <c:v>2016 год (оценка)</c:v>
                </c:pt>
              </c:strCache>
            </c:strRef>
          </c:cat>
          <c:val>
            <c:numRef>
              <c:f>Лист1!$B$6:$J$6</c:f>
              <c:numCache>
                <c:formatCode>General</c:formatCode>
                <c:ptCount val="9"/>
                <c:pt idx="0">
                  <c:v>33</c:v>
                </c:pt>
                <c:pt idx="1">
                  <c:v>24</c:v>
                </c:pt>
                <c:pt idx="2">
                  <c:v>34</c:v>
                </c:pt>
                <c:pt idx="3">
                  <c:v>52</c:v>
                </c:pt>
                <c:pt idx="4">
                  <c:v>50</c:v>
                </c:pt>
                <c:pt idx="5">
                  <c:v>51</c:v>
                </c:pt>
                <c:pt idx="6">
                  <c:v>82</c:v>
                </c:pt>
                <c:pt idx="7">
                  <c:v>105</c:v>
                </c:pt>
                <c:pt idx="8">
                  <c:v>110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8511872"/>
        <c:axId val="248497280"/>
      </c:barChart>
      <c:catAx>
        <c:axId val="2485118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48497280"/>
        <c:crosses val="autoZero"/>
        <c:auto val="1"/>
        <c:lblAlgn val="ctr"/>
        <c:lblOffset val="100"/>
        <c:noMultiLvlLbl val="0"/>
      </c:catAx>
      <c:valAx>
        <c:axId val="248497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8511872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percentStacked"/>
        <c:varyColors val="0"/>
        <c:ser>
          <c:idx val="0"/>
          <c:order val="0"/>
          <c:tx>
            <c:strRef>
              <c:f>расчет!$A$67</c:f>
              <c:strCache>
                <c:ptCount val="1"/>
                <c:pt idx="0">
                  <c:v>Образование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  <a:sp3d/>
          </c:spPr>
          <c:invertIfNegative val="0"/>
          <c:dLbls>
            <c:spPr>
              <a:solidFill>
                <a:schemeClr val="accent3">
                  <a:lumMod val="20000"/>
                  <a:lumOff val="8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расчет!$B$66:$D$66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расчет!$B$67:$D$67</c:f>
              <c:numCache>
                <c:formatCode>0.0</c:formatCode>
                <c:ptCount val="3"/>
                <c:pt idx="0">
                  <c:v>78.969107257644168</c:v>
                </c:pt>
                <c:pt idx="1">
                  <c:v>77.428463533613154</c:v>
                </c:pt>
                <c:pt idx="2">
                  <c:v>79.262148753967779</c:v>
                </c:pt>
              </c:numCache>
            </c:numRef>
          </c:val>
        </c:ser>
        <c:ser>
          <c:idx val="1"/>
          <c:order val="1"/>
          <c:tx>
            <c:strRef>
              <c:f>расчет!$A$68</c:f>
              <c:strCache>
                <c:ptCount val="1"/>
                <c:pt idx="0">
                  <c:v>Культура, кинематография, ФЗК, спорт, СМИ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5.8333333333333334E-2"/>
                  <c:y val="9.25925925925921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5555555555555608E-2"/>
                  <c:y val="1.8518518518518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444444444444543E-2"/>
                  <c:y val="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chemeClr val="accent3">
                  <a:lumMod val="20000"/>
                  <a:lumOff val="8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расчет!$B$66:$D$66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расчет!$B$68:$D$68</c:f>
              <c:numCache>
                <c:formatCode>0.0</c:formatCode>
                <c:ptCount val="3"/>
                <c:pt idx="0">
                  <c:v>4.5636280470662607</c:v>
                </c:pt>
                <c:pt idx="1">
                  <c:v>5.8666662522553024</c:v>
                </c:pt>
                <c:pt idx="2">
                  <c:v>3.5460230744924681</c:v>
                </c:pt>
              </c:numCache>
            </c:numRef>
          </c:val>
        </c:ser>
        <c:ser>
          <c:idx val="2"/>
          <c:order val="2"/>
          <c:tx>
            <c:strRef>
              <c:f>расчет!$A$69</c:f>
              <c:strCache>
                <c:ptCount val="1"/>
                <c:pt idx="0">
                  <c:v>Социальная политика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5.2777777777777778E-2"/>
                  <c:y val="-6.4814814814814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2222222222222272E-2"/>
                  <c:y val="-6.9444444444444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6111111111111212E-2"/>
                  <c:y val="-5.0925925925925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chemeClr val="accent3">
                  <a:lumMod val="20000"/>
                  <a:lumOff val="80000"/>
                </a:schemeClr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расчет!$B$66:$D$66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расчет!$B$69:$D$69</c:f>
              <c:numCache>
                <c:formatCode>0.0</c:formatCode>
                <c:ptCount val="3"/>
                <c:pt idx="0">
                  <c:v>16.461490066879318</c:v>
                </c:pt>
                <c:pt idx="1">
                  <c:v>16.698964852218314</c:v>
                </c:pt>
                <c:pt idx="2">
                  <c:v>17.185733143638952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shape val="cylinder"/>
        <c:axId val="248659328"/>
        <c:axId val="248677504"/>
        <c:axId val="0"/>
      </c:bar3DChart>
      <c:catAx>
        <c:axId val="2486593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8677504"/>
        <c:crosses val="autoZero"/>
        <c:auto val="1"/>
        <c:lblAlgn val="ctr"/>
        <c:lblOffset val="100"/>
        <c:noMultiLvlLbl val="0"/>
      </c:catAx>
      <c:valAx>
        <c:axId val="248677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486593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8131649168853892"/>
          <c:y val="0.18422717993584134"/>
          <c:w val="0.30201684164479442"/>
          <c:h val="0.7750637941090696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>
      <a:gsLst>
        <a:gs pos="0">
          <a:schemeClr val="accent1">
            <a:lumMod val="5000"/>
            <a:lumOff val="95000"/>
          </a:schemeClr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09031563362275E-2"/>
          <c:y val="6.9880104986876648E-2"/>
          <c:w val="0.86758193687327556"/>
          <c:h val="0.678735538057742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Добыча полезныхископаемых, млн рублей</c:v>
                </c:pt>
              </c:strCache>
            </c:strRef>
          </c:tx>
          <c:spPr>
            <a:solidFill>
              <a:srgbClr val="009644"/>
            </a:solidFill>
          </c:spPr>
          <c:invertIfNegative val="0"/>
          <c:dPt>
            <c:idx val="4"/>
            <c:invertIfNegative val="0"/>
            <c:bubble3D val="0"/>
            <c:spPr>
              <a:solidFill>
                <a:srgbClr val="92D050"/>
              </a:solidFill>
            </c:spPr>
          </c:dPt>
          <c:dPt>
            <c:idx val="5"/>
            <c:invertIfNegative val="0"/>
            <c:bubble3D val="0"/>
            <c:spPr>
              <a:solidFill>
                <a:srgbClr val="92D050"/>
              </a:solidFill>
            </c:spPr>
          </c:dPt>
          <c:dPt>
            <c:idx val="6"/>
            <c:invertIfNegative val="0"/>
            <c:bubble3D val="0"/>
            <c:spPr>
              <a:solidFill>
                <a:srgbClr val="92D050"/>
              </a:solidFill>
            </c:spPr>
          </c:dPt>
          <c:dLbls>
            <c:dLbl>
              <c:idx val="1"/>
              <c:layout>
                <c:manualLayout>
                  <c:x val="4.2735042735042739E-3"/>
                  <c:y val="8.5333333333333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     оценка</c:v>
                </c:pt>
                <c:pt idx="4">
                  <c:v>2017     прогноз</c:v>
                </c:pt>
                <c:pt idx="5">
                  <c:v>2018     прогноз</c:v>
                </c:pt>
                <c:pt idx="6">
                  <c:v>2019     прогноз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114.7</c:v>
                </c:pt>
                <c:pt idx="1">
                  <c:v>157.6</c:v>
                </c:pt>
                <c:pt idx="2">
                  <c:v>158.6</c:v>
                </c:pt>
                <c:pt idx="3">
                  <c:v>165.59</c:v>
                </c:pt>
                <c:pt idx="4">
                  <c:v>172.88000000000002</c:v>
                </c:pt>
                <c:pt idx="5">
                  <c:v>183.18</c:v>
                </c:pt>
                <c:pt idx="6">
                  <c:v>193.95000000000002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9068288"/>
        <c:axId val="219069824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производства, %</c:v>
                </c:pt>
              </c:strCache>
            </c:strRef>
          </c:tx>
          <c:dLbls>
            <c:dLbl>
              <c:idx val="0"/>
              <c:layout>
                <c:manualLayout>
                  <c:x val="-3.7037037037037042E-2"/>
                  <c:y val="-0.1269841269841269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6.4102564102564109E-3"/>
                  <c:y val="-8.0000000000000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6.4102564102564109E-3"/>
                  <c:y val="-6.9333333333333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0683760683760766E-2"/>
                  <c:y val="-6.933333333333335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"/>
                  <c:y val="-8.0000000000000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282051282051282E-2"/>
                  <c:y val="-8.5333333333333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     оценка</c:v>
                </c:pt>
                <c:pt idx="4">
                  <c:v>2017     прогноз</c:v>
                </c:pt>
                <c:pt idx="5">
                  <c:v>2018     прогноз</c:v>
                </c:pt>
                <c:pt idx="6">
                  <c:v>2019     прогноз</c:v>
                </c:pt>
              </c:strCache>
            </c:str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118.1</c:v>
                </c:pt>
                <c:pt idx="1">
                  <c:v>162.69999999999999</c:v>
                </c:pt>
                <c:pt idx="2">
                  <c:v>95.6</c:v>
                </c:pt>
                <c:pt idx="3">
                  <c:v>100.1</c:v>
                </c:pt>
                <c:pt idx="4">
                  <c:v>100</c:v>
                </c:pt>
                <c:pt idx="5">
                  <c:v>101.3</c:v>
                </c:pt>
                <c:pt idx="6">
                  <c:v>102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9073152"/>
        <c:axId val="219071616"/>
      </c:lineChart>
      <c:catAx>
        <c:axId val="2190682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19069824"/>
        <c:crosses val="autoZero"/>
        <c:auto val="1"/>
        <c:lblAlgn val="ctr"/>
        <c:lblOffset val="100"/>
        <c:noMultiLvlLbl val="0"/>
      </c:catAx>
      <c:valAx>
        <c:axId val="219069824"/>
        <c:scaling>
          <c:orientation val="minMax"/>
          <c:max val="200"/>
          <c:min val="5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9068288"/>
        <c:crosses val="autoZero"/>
        <c:crossBetween val="between"/>
        <c:majorUnit val="50"/>
      </c:valAx>
      <c:valAx>
        <c:axId val="219071616"/>
        <c:scaling>
          <c:orientation val="minMax"/>
          <c:max val="180"/>
          <c:min val="40"/>
        </c:scaling>
        <c:delete val="0"/>
        <c:axPos val="r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19073152"/>
        <c:crosses val="max"/>
        <c:crossBetween val="between"/>
      </c:valAx>
      <c:catAx>
        <c:axId val="21907315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19071616"/>
        <c:crosses val="autoZero"/>
        <c:auto val="1"/>
        <c:lblAlgn val="ctr"/>
        <c:lblOffset val="100"/>
        <c:noMultiLvlLbl val="0"/>
      </c:catAx>
    </c:plotArea>
    <c:legend>
      <c:legendPos val="b"/>
      <c:layout>
        <c:manualLayout>
          <c:xMode val="edge"/>
          <c:yMode val="edge"/>
          <c:x val="6.9608991183794336E-2"/>
          <c:y val="0.90625757705636723"/>
          <c:w val="0.86078201763241136"/>
          <c:h val="9.3742422943632817E-2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расчет!$A$62</c:f>
              <c:strCache>
                <c:ptCount val="1"/>
                <c:pt idx="0">
                  <c:v>Национальная экономика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9.166666666666666E-2"/>
                  <c:y val="-1.388888888888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555555555555556"/>
                  <c:y val="-8.487556272013328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1666666666666771E-2"/>
                  <c:y val="-9.25925925925925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chemeClr val="bg2"/>
              </a:solidFill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расчет!$B$61:$D$61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расчет!$B$62:$D$62</c:f>
              <c:numCache>
                <c:formatCode>0.0</c:formatCode>
                <c:ptCount val="3"/>
                <c:pt idx="0">
                  <c:v>15.77124542184648</c:v>
                </c:pt>
                <c:pt idx="1">
                  <c:v>16.35073292985054</c:v>
                </c:pt>
                <c:pt idx="2">
                  <c:v>12.233948051025122</c:v>
                </c:pt>
              </c:numCache>
            </c:numRef>
          </c:val>
        </c:ser>
        <c:ser>
          <c:idx val="1"/>
          <c:order val="1"/>
          <c:tx>
            <c:strRef>
              <c:f>расчет!$A$63</c:f>
              <c:strCache>
                <c:ptCount val="1"/>
                <c:pt idx="0">
                  <c:v>Жилищно-коммунальное хозяйство</c:v>
                </c:pt>
              </c:strCache>
            </c:strRef>
          </c:tx>
          <c:spPr>
            <a:solidFill>
              <a:srgbClr val="FF0000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-9.722222222222227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9.16666666666666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000000000000005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chemeClr val="bg2"/>
              </a:solidFill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расчет!$B$61:$D$61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расчет!$B$63:$D$63</c:f>
              <c:numCache>
                <c:formatCode>0.0</c:formatCode>
                <c:ptCount val="3"/>
                <c:pt idx="0">
                  <c:v>8.1488081456757069</c:v>
                </c:pt>
                <c:pt idx="1">
                  <c:v>8.4501372895731794</c:v>
                </c:pt>
                <c:pt idx="2">
                  <c:v>7.455292105116218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shape val="box"/>
        <c:axId val="248753152"/>
        <c:axId val="248918784"/>
        <c:axId val="0"/>
      </c:bar3DChart>
      <c:catAx>
        <c:axId val="2487531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48918784"/>
        <c:crosses val="autoZero"/>
        <c:auto val="1"/>
        <c:lblAlgn val="ctr"/>
        <c:lblOffset val="100"/>
        <c:noMultiLvlLbl val="0"/>
      </c:catAx>
      <c:valAx>
        <c:axId val="2489187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48753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3574803149606301E-2"/>
          <c:y val="0.80178623505395163"/>
          <c:w val="0.96396128608923881"/>
          <c:h val="0.1704359871682706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>
      <a:gsLst>
        <a:gs pos="0">
          <a:schemeClr val="accent1">
            <a:lumMod val="5000"/>
            <a:lumOff val="95000"/>
          </a:schemeClr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331226330272651"/>
          <c:y val="8.7194997684113026E-2"/>
          <c:w val="0.78987186497521145"/>
          <c:h val="0.59364860274819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Отгружено продукции собственного производства, млн рублей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3068050749711637E-3"/>
                  <c:y val="-4.805681642735837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6136101499423404E-3"/>
                  <c:y val="-2.611702948896117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8454440599769365E-2"/>
                  <c:y val="7.542993967859280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8.2757994351052178E-3"/>
                  <c:y val="0.1422671639729245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2.2116629884932178E-2"/>
                  <c:y val="1.945530338119499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2889227946852665E-2"/>
                  <c:y val="-1.182152230971128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1.7503019734989883E-2"/>
                  <c:y val="1.797375328083989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  оценка</c:v>
                </c:pt>
                <c:pt idx="4">
                  <c:v>2017  прогноз</c:v>
                </c:pt>
                <c:pt idx="5">
                  <c:v>2018 прогноз</c:v>
                </c:pt>
                <c:pt idx="6">
                  <c:v>2019  прогноз</c:v>
                </c:pt>
              </c:strCache>
            </c:strRef>
          </c:cat>
          <c:val>
            <c:numRef>
              <c:f>Лист1!$B$2:$B$8</c:f>
              <c:numCache>
                <c:formatCode>#,##0.0</c:formatCode>
                <c:ptCount val="7"/>
                <c:pt idx="0">
                  <c:v>24863.8</c:v>
                </c:pt>
                <c:pt idx="1">
                  <c:v>24160.799999999996</c:v>
                </c:pt>
                <c:pt idx="2">
                  <c:v>40167.1</c:v>
                </c:pt>
                <c:pt idx="3">
                  <c:v>41371.810000000005</c:v>
                </c:pt>
                <c:pt idx="4">
                  <c:v>44263.03</c:v>
                </c:pt>
                <c:pt idx="5">
                  <c:v>47394.450000000004</c:v>
                </c:pt>
                <c:pt idx="6">
                  <c:v>50882.82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9149440"/>
        <c:axId val="219150976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производства, %</c:v>
                </c:pt>
              </c:strCache>
            </c:strRef>
          </c:tx>
          <c:spPr>
            <a:ln w="38096">
              <a:solidFill>
                <a:schemeClr val="accent4">
                  <a:lumMod val="75000"/>
                </a:schemeClr>
              </a:solidFill>
            </a:ln>
          </c:spPr>
          <c:marker>
            <c:spPr>
              <a:solidFill>
                <a:srgbClr val="7030A0"/>
              </a:solidFill>
            </c:spPr>
          </c:marker>
          <c:dLbls>
            <c:dLbl>
              <c:idx val="0"/>
              <c:layout>
                <c:manualLayout>
                  <c:x val="-5.3056516724336984E-2"/>
                  <c:y val="0.1076778343883485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9215686274509803E-2"/>
                  <c:y val="9.3451083320467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767012687427911E-2"/>
                  <c:y val="-6.08187134502924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076124567474049E-2"/>
                  <c:y val="-6.1919417967490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2.3068050749711637E-3"/>
                  <c:y val="4.7026279391424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4.6136101499423404E-3"/>
                  <c:y val="5.255878284923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4602076124567491E-2"/>
                  <c:y val="7.32026143790849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  оценка</c:v>
                </c:pt>
                <c:pt idx="4">
                  <c:v>2017  прогноз</c:v>
                </c:pt>
                <c:pt idx="5">
                  <c:v>2018 прогноз</c:v>
                </c:pt>
                <c:pt idx="6">
                  <c:v>2019  прогноз</c:v>
                </c:pt>
              </c:strCache>
            </c:strRef>
          </c:cat>
          <c:val>
            <c:numRef>
              <c:f>Лист1!$C$2:$C$8</c:f>
              <c:numCache>
                <c:formatCode>0.0</c:formatCode>
                <c:ptCount val="7"/>
                <c:pt idx="0">
                  <c:v>96.2</c:v>
                </c:pt>
                <c:pt idx="1">
                  <c:v>92</c:v>
                </c:pt>
                <c:pt idx="2">
                  <c:v>104.6</c:v>
                </c:pt>
                <c:pt idx="3">
                  <c:v>103.1</c:v>
                </c:pt>
                <c:pt idx="4">
                  <c:v>101.82</c:v>
                </c:pt>
                <c:pt idx="5">
                  <c:v>102.07</c:v>
                </c:pt>
                <c:pt idx="6">
                  <c:v>102.9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9230592"/>
        <c:axId val="219232128"/>
      </c:lineChart>
      <c:catAx>
        <c:axId val="219149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219150976"/>
        <c:crosses val="autoZero"/>
        <c:auto val="1"/>
        <c:lblAlgn val="ctr"/>
        <c:lblOffset val="100"/>
        <c:noMultiLvlLbl val="0"/>
      </c:catAx>
      <c:valAx>
        <c:axId val="219150976"/>
        <c:scaling>
          <c:orientation val="minMax"/>
          <c:max val="51000"/>
          <c:min val="0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219149440"/>
        <c:crosses val="autoZero"/>
        <c:crossBetween val="between"/>
        <c:majorUnit val="10000"/>
      </c:valAx>
      <c:catAx>
        <c:axId val="21923059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19232128"/>
        <c:crosses val="autoZero"/>
        <c:auto val="1"/>
        <c:lblAlgn val="ctr"/>
        <c:lblOffset val="100"/>
        <c:noMultiLvlLbl val="0"/>
      </c:catAx>
      <c:valAx>
        <c:axId val="219232128"/>
        <c:scaling>
          <c:orientation val="minMax"/>
        </c:scaling>
        <c:delete val="0"/>
        <c:axPos val="r"/>
        <c:numFmt formatCode="0" sourceLinked="0"/>
        <c:majorTickMark val="out"/>
        <c:minorTickMark val="none"/>
        <c:tickLblPos val="nextTo"/>
        <c:crossAx val="219230592"/>
        <c:crosses val="max"/>
        <c:crossBetween val="between"/>
        <c:majorUnit val="4"/>
      </c:valAx>
    </c:plotArea>
    <c:legend>
      <c:legendPos val="r"/>
      <c:layout>
        <c:manualLayout>
          <c:xMode val="edge"/>
          <c:yMode val="edge"/>
          <c:x val="0"/>
          <c:y val="0.84687245825041091"/>
          <c:w val="1"/>
          <c:h val="0.15312739118267002"/>
        </c:manualLayout>
      </c:layout>
      <c:overlay val="0"/>
      <c:txPr>
        <a:bodyPr/>
        <a:lstStyle/>
        <a:p>
          <a:pPr>
            <a:defRPr b="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575805628463109"/>
          <c:y val="3.4876439167148832E-2"/>
          <c:w val="0.87677001312336977"/>
          <c:h val="0.6854688209027506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Отгружено продукции собственного производства, млн рублей</c:v>
                </c:pt>
              </c:strCache>
            </c:strRef>
          </c:tx>
          <c:spPr>
            <a:gradFill flip="none" rotWithShape="1">
              <a:gsLst>
                <a:gs pos="0">
                  <a:srgbClr val="4F81BD">
                    <a:shade val="30000"/>
                    <a:satMod val="115000"/>
                  </a:srgbClr>
                </a:gs>
                <a:gs pos="50000">
                  <a:srgbClr val="4F81BD">
                    <a:shade val="67500"/>
                    <a:satMod val="115000"/>
                  </a:srgbClr>
                </a:gs>
                <a:gs pos="100000">
                  <a:srgbClr val="4F81BD">
                    <a:shade val="100000"/>
                    <a:satMod val="115000"/>
                  </a:srgbClr>
                </a:gs>
              </a:gsLst>
              <a:lin ang="10800000" scaled="1"/>
              <a:tileRect/>
            </a:gradFill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 (оценка)</c:v>
                </c:pt>
                <c:pt idx="4">
                  <c:v>2017  прогноз</c:v>
                </c:pt>
                <c:pt idx="5">
                  <c:v>2018  прогноз</c:v>
                </c:pt>
                <c:pt idx="6">
                  <c:v>2019 прогноз</c:v>
                </c:pt>
              </c:strCache>
            </c:strRef>
          </c:cat>
          <c:val>
            <c:numRef>
              <c:f>Лист1!$B$2:$B$8</c:f>
              <c:numCache>
                <c:formatCode>#,##0.00</c:formatCode>
                <c:ptCount val="7"/>
                <c:pt idx="0">
                  <c:v>8714.5</c:v>
                </c:pt>
                <c:pt idx="1">
                  <c:v>8648.6</c:v>
                </c:pt>
                <c:pt idx="2">
                  <c:v>8927.6</c:v>
                </c:pt>
                <c:pt idx="3">
                  <c:v>9788.09</c:v>
                </c:pt>
                <c:pt idx="4">
                  <c:v>10427.26</c:v>
                </c:pt>
                <c:pt idx="5">
                  <c:v>11079.6</c:v>
                </c:pt>
                <c:pt idx="6">
                  <c:v>11832.34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9288320"/>
        <c:axId val="219289856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Индекс производства, %</c:v>
                </c:pt>
              </c:strCache>
            </c:strRef>
          </c:tx>
          <c:dLbls>
            <c:dLbl>
              <c:idx val="0"/>
              <c:layout>
                <c:manualLayout>
                  <c:x val="-4.3981481481481483E-2"/>
                  <c:y val="-7.8703703703703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7777777777778054E-2"/>
                  <c:y val="-6.9444444444444503E-2"/>
                </c:manualLayout>
              </c:layout>
              <c:tx>
                <c:rich>
                  <a:bodyPr/>
                  <a:lstStyle/>
                  <a:p>
                    <a:r>
                      <a:rPr lang="en-US" sz="1050" b="1"/>
                      <a:t>102,0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666666666666664E-2"/>
                  <c:y val="-5.1640344956880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407407407407413E-2"/>
                  <c:y val="-5.116159330658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092592592592591E-2"/>
                  <c:y val="-4.9489043754588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7037037037037042E-2"/>
                  <c:y val="-0.1115061192063635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4722222222222224E-2"/>
                  <c:y val="-7.738659104393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 (оценка)</c:v>
                </c:pt>
                <c:pt idx="4">
                  <c:v>2017  прогноз</c:v>
                </c:pt>
                <c:pt idx="5">
                  <c:v>2018  прогноз</c:v>
                </c:pt>
                <c:pt idx="6">
                  <c:v>2019 прогноз</c:v>
                </c:pt>
              </c:strCache>
            </c:strRef>
          </c:cat>
          <c:val>
            <c:numRef>
              <c:f>Лист1!$C$2:$C$8</c:f>
              <c:numCache>
                <c:formatCode>0.0</c:formatCode>
                <c:ptCount val="7"/>
                <c:pt idx="0" formatCode="General">
                  <c:v>102</c:v>
                </c:pt>
                <c:pt idx="1">
                  <c:v>99.4</c:v>
                </c:pt>
                <c:pt idx="2">
                  <c:v>94.7</c:v>
                </c:pt>
                <c:pt idx="3">
                  <c:v>101.8</c:v>
                </c:pt>
                <c:pt idx="4">
                  <c:v>100.5</c:v>
                </c:pt>
                <c:pt idx="5">
                  <c:v>101.1</c:v>
                </c:pt>
                <c:pt idx="6">
                  <c:v>102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9312128"/>
        <c:axId val="219313664"/>
      </c:lineChart>
      <c:catAx>
        <c:axId val="219288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0"/>
            </a:pPr>
            <a:endParaRPr lang="ru-RU"/>
          </a:p>
        </c:txPr>
        <c:crossAx val="219289856"/>
        <c:crosses val="autoZero"/>
        <c:auto val="1"/>
        <c:lblAlgn val="ctr"/>
        <c:lblOffset val="100"/>
        <c:noMultiLvlLbl val="0"/>
      </c:catAx>
      <c:valAx>
        <c:axId val="219289856"/>
        <c:scaling>
          <c:orientation val="minMax"/>
          <c:max val="12000"/>
          <c:min val="4000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219288320"/>
        <c:crosses val="autoZero"/>
        <c:crossBetween val="between"/>
        <c:majorUnit val="1000"/>
      </c:valAx>
      <c:catAx>
        <c:axId val="21931212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19313664"/>
        <c:crosses val="autoZero"/>
        <c:auto val="1"/>
        <c:lblAlgn val="ctr"/>
        <c:lblOffset val="100"/>
        <c:noMultiLvlLbl val="0"/>
      </c:catAx>
      <c:valAx>
        <c:axId val="219313664"/>
        <c:scaling>
          <c:orientation val="minMax"/>
          <c:max val="110"/>
          <c:min val="40"/>
        </c:scaling>
        <c:delete val="0"/>
        <c:axPos val="r"/>
        <c:numFmt formatCode="General" sourceLinked="1"/>
        <c:majorTickMark val="out"/>
        <c:minorTickMark val="none"/>
        <c:tickLblPos val="nextTo"/>
        <c:crossAx val="219312128"/>
        <c:crosses val="max"/>
        <c:crossBetween val="between"/>
        <c:majorUnit val="50"/>
      </c:valAx>
    </c:plotArea>
    <c:legend>
      <c:legendPos val="b"/>
      <c:layout>
        <c:manualLayout>
          <c:xMode val="edge"/>
          <c:yMode val="edge"/>
          <c:x val="0"/>
          <c:y val="0.86691468970444141"/>
          <c:w val="1"/>
          <c:h val="0.12841982436137475"/>
        </c:manualLayout>
      </c:layout>
      <c:overlay val="0"/>
      <c:txPr>
        <a:bodyPr/>
        <a:lstStyle/>
        <a:p>
          <a:pPr>
            <a:defRPr sz="1050" b="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738097443701892"/>
          <c:y val="0.15947415268743587"/>
          <c:w val="0.86773446002176569"/>
          <c:h val="0.538858381832705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60000"/>
                      <a:lumOff val="40000"/>
                      <a:shade val="30000"/>
                      <a:satMod val="115000"/>
                    </a:srgbClr>
                  </a:gs>
                  <a:gs pos="50000">
                    <a:srgbClr val="1F497D">
                      <a:lumMod val="60000"/>
                      <a:lumOff val="40000"/>
                      <a:shade val="67500"/>
                      <a:satMod val="115000"/>
                    </a:srgbClr>
                  </a:gs>
                  <a:gs pos="100000">
                    <a:srgbClr val="1F497D">
                      <a:lumMod val="60000"/>
                      <a:lumOff val="40000"/>
                      <a:shade val="100000"/>
                      <a:satMod val="115000"/>
                    </a:srgbClr>
                  </a:gs>
                </a:gsLst>
                <a:lin ang="10800000" scaled="1"/>
                <a:tileRect/>
              </a:gradFill>
            </c:spPr>
          </c:dPt>
          <c:dPt>
            <c:idx val="1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60000"/>
                      <a:lumOff val="40000"/>
                      <a:shade val="30000"/>
                      <a:satMod val="115000"/>
                    </a:srgbClr>
                  </a:gs>
                  <a:gs pos="50000">
                    <a:srgbClr val="1F497D">
                      <a:lumMod val="60000"/>
                      <a:lumOff val="40000"/>
                      <a:shade val="67500"/>
                      <a:satMod val="115000"/>
                    </a:srgbClr>
                  </a:gs>
                  <a:gs pos="100000">
                    <a:srgbClr val="1F497D">
                      <a:lumMod val="60000"/>
                      <a:lumOff val="40000"/>
                      <a:shade val="100000"/>
                      <a:satMod val="115000"/>
                    </a:srgbClr>
                  </a:gs>
                </a:gsLst>
                <a:lin ang="10800000" scaled="1"/>
                <a:tileRect/>
              </a:gradFill>
            </c:spPr>
          </c:dPt>
          <c:dPt>
            <c:idx val="2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20000"/>
                      <a:lumOff val="80000"/>
                      <a:shade val="30000"/>
                      <a:satMod val="115000"/>
                    </a:srgbClr>
                  </a:gs>
                  <a:gs pos="50000">
                    <a:srgbClr val="1F497D">
                      <a:lumMod val="20000"/>
                      <a:lumOff val="80000"/>
                      <a:shade val="67500"/>
                      <a:satMod val="115000"/>
                    </a:srgbClr>
                  </a:gs>
                  <a:gs pos="100000">
                    <a:srgbClr val="1F497D">
                      <a:lumMod val="20000"/>
                      <a:lumOff val="80000"/>
                      <a:shade val="100000"/>
                      <a:satMod val="115000"/>
                    </a:srgbClr>
                  </a:gs>
                </a:gsLst>
                <a:lin ang="10800000" scaled="1"/>
                <a:tileRect/>
              </a:gradFill>
            </c:spPr>
          </c:dPt>
          <c:dPt>
            <c:idx val="3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60000"/>
                      <a:lumOff val="40000"/>
                      <a:shade val="30000"/>
                      <a:satMod val="115000"/>
                    </a:srgbClr>
                  </a:gs>
                  <a:gs pos="50000">
                    <a:srgbClr val="1F497D">
                      <a:lumMod val="60000"/>
                      <a:lumOff val="40000"/>
                      <a:shade val="67500"/>
                      <a:satMod val="115000"/>
                    </a:srgbClr>
                  </a:gs>
                  <a:gs pos="100000">
                    <a:srgbClr val="1F497D">
                      <a:lumMod val="60000"/>
                      <a:lumOff val="40000"/>
                      <a:shade val="100000"/>
                      <a:satMod val="115000"/>
                    </a:srgbClr>
                  </a:gs>
                </a:gsLst>
                <a:lin ang="8100000" scaled="1"/>
                <a:tileRect/>
              </a:gradFill>
            </c:spPr>
          </c:dPt>
          <c:dPt>
            <c:idx val="4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20000"/>
                      <a:lumOff val="80000"/>
                      <a:shade val="30000"/>
                      <a:satMod val="115000"/>
                    </a:srgbClr>
                  </a:gs>
                  <a:gs pos="50000">
                    <a:srgbClr val="1F497D">
                      <a:lumMod val="20000"/>
                      <a:lumOff val="80000"/>
                      <a:shade val="67500"/>
                      <a:satMod val="115000"/>
                    </a:srgbClr>
                  </a:gs>
                  <a:gs pos="100000">
                    <a:srgbClr val="1F497D">
                      <a:lumMod val="20000"/>
                      <a:lumOff val="80000"/>
                      <a:shade val="100000"/>
                      <a:satMod val="115000"/>
                    </a:srgbClr>
                  </a:gs>
                </a:gsLst>
                <a:lin ang="10800000" scaled="1"/>
                <a:tileRect/>
              </a:gradFill>
            </c:spPr>
          </c:dPt>
          <c:dPt>
            <c:idx val="5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60000"/>
                      <a:lumOff val="40000"/>
                      <a:shade val="30000"/>
                      <a:satMod val="115000"/>
                    </a:srgbClr>
                  </a:gs>
                  <a:gs pos="50000">
                    <a:srgbClr val="1F497D">
                      <a:lumMod val="60000"/>
                      <a:lumOff val="40000"/>
                      <a:shade val="67500"/>
                      <a:satMod val="115000"/>
                    </a:srgbClr>
                  </a:gs>
                  <a:gs pos="100000">
                    <a:srgbClr val="1F497D">
                      <a:lumMod val="60000"/>
                      <a:lumOff val="40000"/>
                      <a:shade val="100000"/>
                      <a:satMod val="115000"/>
                    </a:srgbClr>
                  </a:gs>
                </a:gsLst>
                <a:lin ang="10800000" scaled="1"/>
                <a:tileRect/>
              </a:gradFill>
            </c:spPr>
          </c:dPt>
          <c:dPt>
            <c:idx val="6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20000"/>
                      <a:lumOff val="80000"/>
                      <a:shade val="30000"/>
                      <a:satMod val="115000"/>
                    </a:srgbClr>
                  </a:gs>
                  <a:gs pos="50000">
                    <a:srgbClr val="1F497D">
                      <a:lumMod val="20000"/>
                      <a:lumOff val="80000"/>
                      <a:shade val="67500"/>
                      <a:satMod val="115000"/>
                    </a:srgbClr>
                  </a:gs>
                  <a:gs pos="100000">
                    <a:srgbClr val="1F497D">
                      <a:lumMod val="20000"/>
                      <a:lumOff val="80000"/>
                      <a:shade val="100000"/>
                      <a:satMod val="115000"/>
                    </a:srgbClr>
                  </a:gs>
                </a:gsLst>
                <a:lin ang="10800000" scaled="1"/>
                <a:tileRect/>
              </a:gradFill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2016 (оценка)</c:v>
                </c:pt>
                <c:pt idx="1">
                  <c:v>2017 год         (1 вар.)</c:v>
                </c:pt>
                <c:pt idx="2">
                  <c:v>2017 год           (2 вар.)</c:v>
                </c:pt>
                <c:pt idx="3">
                  <c:v>2018 год          (1 вар.)</c:v>
                </c:pt>
                <c:pt idx="4">
                  <c:v>2018 год          (2 вар.)</c:v>
                </c:pt>
                <c:pt idx="5">
                  <c:v>2019 год          (1 вар.)</c:v>
                </c:pt>
                <c:pt idx="6">
                  <c:v>2019 год           (2 вар.)</c:v>
                </c:pt>
              </c:strCache>
            </c:strRef>
          </c:cat>
          <c:val>
            <c:numRef>
              <c:f>Лист1!$B$2:$B$8</c:f>
              <c:numCache>
                <c:formatCode>#,##0.0</c:formatCode>
                <c:ptCount val="7"/>
                <c:pt idx="0">
                  <c:v>51325.49</c:v>
                </c:pt>
                <c:pt idx="1">
                  <c:v>54863.18</c:v>
                </c:pt>
                <c:pt idx="2">
                  <c:v>55196.44</c:v>
                </c:pt>
                <c:pt idx="3">
                  <c:v>58657.24</c:v>
                </c:pt>
                <c:pt idx="4">
                  <c:v>58911.380000000005</c:v>
                </c:pt>
                <c:pt idx="5">
                  <c:v>62909.13</c:v>
                </c:pt>
                <c:pt idx="6">
                  <c:v>63226.07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2"/>
        <c:axId val="219394816"/>
        <c:axId val="219396352"/>
      </c:barChart>
      <c:catAx>
        <c:axId val="219394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19396352"/>
        <c:crosses val="autoZero"/>
        <c:auto val="1"/>
        <c:lblAlgn val="ctr"/>
        <c:lblOffset val="100"/>
        <c:noMultiLvlLbl val="0"/>
      </c:catAx>
      <c:valAx>
        <c:axId val="219396352"/>
        <c:scaling>
          <c:orientation val="minMax"/>
          <c:max val="65000"/>
          <c:min val="45000"/>
        </c:scaling>
        <c:delete val="0"/>
        <c:axPos val="l"/>
        <c:majorGridlines/>
        <c:numFmt formatCode="#,##0.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19394816"/>
        <c:crosses val="autoZero"/>
        <c:crossBetween val="between"/>
        <c:majorUnit val="5000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923811606882473E-2"/>
          <c:y val="5.3527350274397367E-2"/>
          <c:w val="0.88907316272965298"/>
          <c:h val="0.73279020815467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Индекс промышленного производства (Добыча полезных ископаемых + Обрабатывающие производства + Производство и распределения электроэнергии, газа и воды)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  <a:ln w="25398" cap="flat" cmpd="sng" algn="ctr">
              <a:noFill/>
              <a:prstDash val="solid"/>
            </a:ln>
            <a:effectLst/>
          </c:spPr>
          <c:invertIfNegative val="0"/>
          <c:dPt>
            <c:idx val="0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60000"/>
                      <a:lumOff val="40000"/>
                      <a:shade val="30000"/>
                      <a:satMod val="115000"/>
                    </a:srgbClr>
                  </a:gs>
                  <a:gs pos="50000">
                    <a:srgbClr val="1F497D">
                      <a:lumMod val="60000"/>
                      <a:lumOff val="40000"/>
                      <a:shade val="67500"/>
                      <a:satMod val="115000"/>
                    </a:srgbClr>
                  </a:gs>
                  <a:gs pos="100000">
                    <a:srgbClr val="1F497D">
                      <a:lumMod val="60000"/>
                      <a:lumOff val="40000"/>
                      <a:shade val="100000"/>
                      <a:satMod val="115000"/>
                    </a:srgbClr>
                  </a:gs>
                </a:gsLst>
                <a:lin ang="10800000" scaled="1"/>
                <a:tileRect/>
              </a:gradFill>
              <a:ln w="25398" cap="flat" cmpd="sng" algn="ctr">
                <a:noFill/>
                <a:prstDash val="solid"/>
              </a:ln>
              <a:effectLst/>
            </c:spPr>
          </c:dPt>
          <c:dPt>
            <c:idx val="1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60000"/>
                      <a:lumOff val="40000"/>
                      <a:shade val="30000"/>
                      <a:satMod val="115000"/>
                    </a:srgbClr>
                  </a:gs>
                  <a:gs pos="50000">
                    <a:srgbClr val="1F497D">
                      <a:lumMod val="60000"/>
                      <a:lumOff val="40000"/>
                      <a:shade val="67500"/>
                      <a:satMod val="115000"/>
                    </a:srgbClr>
                  </a:gs>
                  <a:gs pos="100000">
                    <a:srgbClr val="1F497D">
                      <a:lumMod val="60000"/>
                      <a:lumOff val="40000"/>
                      <a:shade val="100000"/>
                      <a:satMod val="115000"/>
                    </a:srgbClr>
                  </a:gs>
                </a:gsLst>
                <a:lin ang="10800000" scaled="1"/>
                <a:tileRect/>
              </a:gradFill>
              <a:ln w="25398" cap="flat" cmpd="sng" algn="ctr">
                <a:noFill/>
                <a:prstDash val="solid"/>
              </a:ln>
              <a:effectLst/>
            </c:spPr>
          </c:dPt>
          <c:dPt>
            <c:idx val="2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20000"/>
                      <a:lumOff val="80000"/>
                      <a:shade val="30000"/>
                      <a:satMod val="115000"/>
                    </a:srgbClr>
                  </a:gs>
                  <a:gs pos="50000">
                    <a:srgbClr val="1F497D">
                      <a:lumMod val="20000"/>
                      <a:lumOff val="80000"/>
                      <a:shade val="67500"/>
                      <a:satMod val="115000"/>
                    </a:srgbClr>
                  </a:gs>
                  <a:gs pos="100000">
                    <a:srgbClr val="1F497D">
                      <a:lumMod val="20000"/>
                      <a:lumOff val="80000"/>
                      <a:shade val="100000"/>
                      <a:satMod val="115000"/>
                    </a:srgbClr>
                  </a:gs>
                </a:gsLst>
                <a:lin ang="10800000" scaled="1"/>
                <a:tileRect/>
              </a:gradFill>
              <a:ln w="25398" cap="flat" cmpd="sng" algn="ctr">
                <a:noFill/>
                <a:prstDash val="solid"/>
              </a:ln>
              <a:effectLst/>
            </c:spPr>
          </c:dPt>
          <c:dPt>
            <c:idx val="3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60000"/>
                      <a:lumOff val="40000"/>
                      <a:shade val="30000"/>
                      <a:satMod val="115000"/>
                    </a:srgbClr>
                  </a:gs>
                  <a:gs pos="50000">
                    <a:srgbClr val="1F497D">
                      <a:lumMod val="60000"/>
                      <a:lumOff val="40000"/>
                      <a:shade val="67500"/>
                      <a:satMod val="115000"/>
                    </a:srgbClr>
                  </a:gs>
                  <a:gs pos="100000">
                    <a:srgbClr val="1F497D">
                      <a:lumMod val="60000"/>
                      <a:lumOff val="40000"/>
                      <a:shade val="100000"/>
                      <a:satMod val="115000"/>
                    </a:srgbClr>
                  </a:gs>
                </a:gsLst>
                <a:lin ang="10800000" scaled="1"/>
                <a:tileRect/>
              </a:gradFill>
              <a:ln w="25398" cap="flat" cmpd="sng" algn="ctr">
                <a:noFill/>
                <a:prstDash val="solid"/>
              </a:ln>
              <a:effectLst/>
            </c:spPr>
          </c:dPt>
          <c:dPt>
            <c:idx val="4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20000"/>
                      <a:lumOff val="80000"/>
                      <a:shade val="30000"/>
                      <a:satMod val="115000"/>
                    </a:srgbClr>
                  </a:gs>
                  <a:gs pos="50000">
                    <a:srgbClr val="1F497D">
                      <a:lumMod val="20000"/>
                      <a:lumOff val="80000"/>
                      <a:shade val="67500"/>
                      <a:satMod val="115000"/>
                    </a:srgbClr>
                  </a:gs>
                  <a:gs pos="100000">
                    <a:srgbClr val="1F497D">
                      <a:lumMod val="20000"/>
                      <a:lumOff val="80000"/>
                      <a:shade val="100000"/>
                      <a:satMod val="115000"/>
                    </a:srgbClr>
                  </a:gs>
                </a:gsLst>
                <a:lin ang="10800000" scaled="1"/>
                <a:tileRect/>
              </a:gradFill>
              <a:ln w="25398" cap="flat" cmpd="sng" algn="ctr">
                <a:noFill/>
                <a:prstDash val="solid"/>
              </a:ln>
              <a:effectLst/>
            </c:spPr>
          </c:dPt>
          <c:dPt>
            <c:idx val="5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60000"/>
                      <a:lumOff val="40000"/>
                      <a:shade val="30000"/>
                      <a:satMod val="115000"/>
                    </a:srgbClr>
                  </a:gs>
                  <a:gs pos="50000">
                    <a:srgbClr val="1F497D">
                      <a:lumMod val="60000"/>
                      <a:lumOff val="40000"/>
                      <a:shade val="67500"/>
                      <a:satMod val="115000"/>
                    </a:srgbClr>
                  </a:gs>
                  <a:gs pos="100000">
                    <a:srgbClr val="1F497D">
                      <a:lumMod val="60000"/>
                      <a:lumOff val="40000"/>
                      <a:shade val="100000"/>
                      <a:satMod val="115000"/>
                    </a:srgbClr>
                  </a:gs>
                </a:gsLst>
                <a:lin ang="10800000" scaled="1"/>
                <a:tileRect/>
              </a:gradFill>
              <a:ln w="25398" cap="flat" cmpd="sng" algn="ctr">
                <a:noFill/>
                <a:prstDash val="solid"/>
              </a:ln>
              <a:effectLst/>
            </c:spPr>
          </c:dPt>
          <c:dPt>
            <c:idx val="6"/>
            <c:invertIfNegative val="0"/>
            <c:bubble3D val="0"/>
            <c:spPr>
              <a:gradFill flip="none" rotWithShape="1">
                <a:gsLst>
                  <a:gs pos="0">
                    <a:srgbClr val="1F497D">
                      <a:lumMod val="20000"/>
                      <a:lumOff val="80000"/>
                      <a:shade val="30000"/>
                      <a:satMod val="115000"/>
                    </a:srgbClr>
                  </a:gs>
                  <a:gs pos="50000">
                    <a:srgbClr val="1F497D">
                      <a:lumMod val="20000"/>
                      <a:lumOff val="80000"/>
                      <a:shade val="67500"/>
                      <a:satMod val="115000"/>
                    </a:srgbClr>
                  </a:gs>
                  <a:gs pos="100000">
                    <a:srgbClr val="1F497D">
                      <a:lumMod val="20000"/>
                      <a:lumOff val="80000"/>
                      <a:shade val="100000"/>
                      <a:satMod val="115000"/>
                    </a:srgbClr>
                  </a:gs>
                </a:gsLst>
                <a:lin ang="10800000" scaled="1"/>
                <a:tileRect/>
              </a:gradFill>
              <a:ln w="25398" cap="flat" cmpd="sng" algn="ctr">
                <a:noFill/>
                <a:prstDash val="solid"/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2016 (оценка)</c:v>
                </c:pt>
                <c:pt idx="1">
                  <c:v>2017             (1 вар.)</c:v>
                </c:pt>
                <c:pt idx="2">
                  <c:v>2017              (2 вар.)</c:v>
                </c:pt>
                <c:pt idx="3">
                  <c:v>2018               (1 вар.)</c:v>
                </c:pt>
                <c:pt idx="4">
                  <c:v>2018               (2 вар.)</c:v>
                </c:pt>
                <c:pt idx="5">
                  <c:v>2019             (1 вар.)</c:v>
                </c:pt>
                <c:pt idx="6">
                  <c:v>2019               (2 вар.)</c:v>
                </c:pt>
              </c:strCache>
            </c:strRef>
          </c:cat>
          <c:val>
            <c:numRef>
              <c:f>Лист1!$B$2:$B$8</c:f>
              <c:numCache>
                <c:formatCode>0.0</c:formatCode>
                <c:ptCount val="7"/>
                <c:pt idx="0">
                  <c:v>101.5</c:v>
                </c:pt>
                <c:pt idx="1">
                  <c:v>101.8</c:v>
                </c:pt>
                <c:pt idx="2">
                  <c:v>102</c:v>
                </c:pt>
                <c:pt idx="3">
                  <c:v>102</c:v>
                </c:pt>
                <c:pt idx="4">
                  <c:v>102.3</c:v>
                </c:pt>
                <c:pt idx="5">
                  <c:v>102.9</c:v>
                </c:pt>
                <c:pt idx="6">
                  <c:v>103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9526272"/>
        <c:axId val="219527808"/>
      </c:barChart>
      <c:catAx>
        <c:axId val="219526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19527808"/>
        <c:crosses val="autoZero"/>
        <c:auto val="1"/>
        <c:lblAlgn val="ctr"/>
        <c:lblOffset val="100"/>
        <c:noMultiLvlLbl val="0"/>
      </c:catAx>
      <c:valAx>
        <c:axId val="219527808"/>
        <c:scaling>
          <c:orientation val="minMax"/>
          <c:max val="110"/>
          <c:min val="0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19526272"/>
        <c:crosses val="autoZero"/>
        <c:crossBetween val="between"/>
        <c:majorUnit val="20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 b="1" i="1"/>
            </a:pPr>
            <a:r>
              <a:rPr lang="ru-RU" sz="900" b="1" i="1">
                <a:latin typeface="Times New Roman" pitchFamily="18" charset="0"/>
                <a:cs typeface="Times New Roman" pitchFamily="18" charset="0"/>
              </a:rPr>
              <a:t>Рис. 4.1. Структура инвестиций  крупных и средних предпроятий  по источникам финансирования в 2015 году, в % к итогу </a:t>
            </a:r>
          </a:p>
        </c:rich>
      </c:tx>
      <c:layout>
        <c:manualLayout>
          <c:xMode val="edge"/>
          <c:yMode val="edge"/>
          <c:x val="0.11607507177951717"/>
          <c:y val="0"/>
        </c:manualLayout>
      </c:layout>
      <c:overlay val="1"/>
    </c:title>
    <c:autoTitleDeleted val="0"/>
    <c:view3D>
      <c:rotX val="30"/>
      <c:rotY val="173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86886301099801E-3"/>
          <c:y val="0"/>
          <c:w val="0.99268987631167938"/>
          <c:h val="1"/>
        </c:manualLayout>
      </c:layout>
      <c:pie3D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71450"/>
            </a:sp3d>
          </c:spPr>
          <c:explosion val="10"/>
          <c:dPt>
            <c:idx val="0"/>
            <c:bubble3D val="0"/>
          </c:dPt>
          <c:dPt>
            <c:idx val="1"/>
            <c:bubble3D val="0"/>
            <c:explosion val="19"/>
          </c:dPt>
          <c:dPt>
            <c:idx val="2"/>
            <c:bubble3D val="0"/>
            <c:explosion val="21"/>
          </c:dPt>
          <c:dPt>
            <c:idx val="3"/>
            <c:bubble3D val="0"/>
          </c:dPt>
          <c:dPt>
            <c:idx val="4"/>
            <c:bubble3D val="0"/>
          </c:dPt>
          <c:dPt>
            <c:idx val="5"/>
            <c:bubble3D val="0"/>
          </c:dPt>
          <c:dLbls>
            <c:dLbl>
              <c:idx val="0"/>
              <c:layout>
                <c:manualLayout>
                  <c:x val="0.17543854802084596"/>
                  <c:y val="-0.136118227279993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4817629747564728"/>
                  <c:y val="0.13167807149106361"/>
                </c:manualLayout>
              </c:layout>
              <c:spPr/>
              <c:txPr>
                <a:bodyPr/>
                <a:lstStyle/>
                <a:p>
                  <a:pPr>
                    <a:defRPr sz="1000" b="1"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.15087715129792753"/>
                  <c:y val="5.6975452196382469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26901155738728144"/>
                  <c:y val="0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16851751207729468"/>
                  <c:y val="-5.9705749354005168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4.3556556552961305E-2"/>
                  <c:y val="1.712015503875969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'[Диаграмма в Microsoft Word]Лист1'!$C$20:$F$20</c:f>
              <c:strCache>
                <c:ptCount val="4"/>
                <c:pt idx="0">
                  <c:v>Бюджетные средства</c:v>
                </c:pt>
                <c:pt idx="1">
                  <c:v>Собственные средства предприятий</c:v>
                </c:pt>
                <c:pt idx="2">
                  <c:v>Другие средства</c:v>
                </c:pt>
                <c:pt idx="3">
                  <c:v>Кредиты банков</c:v>
                </c:pt>
              </c:strCache>
            </c:strRef>
          </c:cat>
          <c:val>
            <c:numRef>
              <c:f>'[Диаграмма в Microsoft Word]Лист1'!$C$21:$F$21</c:f>
              <c:numCache>
                <c:formatCode>0.0%</c:formatCode>
                <c:ptCount val="4"/>
                <c:pt idx="0">
                  <c:v>0.436</c:v>
                </c:pt>
                <c:pt idx="1">
                  <c:v>0.52400000000000002</c:v>
                </c:pt>
                <c:pt idx="2">
                  <c:v>2.9000000000000001E-2</c:v>
                </c:pt>
                <c:pt idx="3">
                  <c:v>1.1000000000000001E-2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scene3d>
          <a:camera prst="orthographicFront"/>
          <a:lightRig rig="threePt" dir="t"/>
        </a:scene3d>
        <a:sp3d>
          <a:bevelT/>
        </a:sp3d>
      </c:spPr>
    </c:plotArea>
    <c:plotVisOnly val="1"/>
    <c:dispBlanksAs val="gap"/>
    <c:showDLblsOverMax val="0"/>
  </c:chart>
  <c:spPr>
    <a:ln>
      <a:noFill/>
    </a:ln>
    <a:scene3d>
      <a:camera prst="orthographicFront"/>
      <a:lightRig rig="threePt" dir="t"/>
    </a:scene3d>
    <a:sp3d>
      <a:bevelT w="0" h="0"/>
      <a:bevelB w="0" h="0"/>
    </a:sp3d>
  </c:sp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413051491075418"/>
          <c:y val="0.1765317249090094"/>
          <c:w val="0.48692905245514612"/>
          <c:h val="0.47318627511864347"/>
        </c:manualLayout>
      </c:layout>
      <c:pie3D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 prstMaterial="matte">
              <a:bevelT w="101600" prst="riblet"/>
              <a:bevelB w="101600" prst="riblet"/>
            </a:sp3d>
          </c:spPr>
          <c:explosion val="19"/>
          <c:dPt>
            <c:idx val="0"/>
            <c:bubble3D val="0"/>
            <c:explosion val="8"/>
            <c:spPr>
              <a:solidFill>
                <a:schemeClr val="accent4">
                  <a:lumMod val="60000"/>
                  <a:lumOff val="40000"/>
                </a:schemeClr>
              </a:solidFill>
              <a:scene3d>
                <a:camera prst="orthographicFront"/>
                <a:lightRig rig="threePt" dir="t"/>
              </a:scene3d>
              <a:sp3d prstMaterial="matte">
                <a:bevelT w="101600" prst="riblet"/>
                <a:bevelB w="101600" prst="riblet"/>
              </a:sp3d>
            </c:spPr>
          </c:dPt>
          <c:dPt>
            <c:idx val="1"/>
            <c:bubble3D val="0"/>
            <c:explosion val="32"/>
            <c:spPr>
              <a:solidFill>
                <a:schemeClr val="accent5">
                  <a:lumMod val="75000"/>
                </a:schemeClr>
              </a:solidFill>
              <a:scene3d>
                <a:camera prst="orthographicFront"/>
                <a:lightRig rig="threePt" dir="t"/>
              </a:scene3d>
              <a:sp3d prstMaterial="matte">
                <a:bevelT w="101600" prst="riblet"/>
                <a:bevelB w="101600" prst="riblet"/>
              </a:sp3d>
            </c:spPr>
          </c:dPt>
          <c:dPt>
            <c:idx val="2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  <a:scene3d>
                <a:camera prst="orthographicFront"/>
                <a:lightRig rig="threePt" dir="t"/>
              </a:scene3d>
              <a:sp3d prstMaterial="matte">
                <a:bevelT w="101600" prst="riblet"/>
                <a:bevelB w="101600" prst="riblet"/>
              </a:sp3d>
            </c:spPr>
          </c:dPt>
          <c:dPt>
            <c:idx val="3"/>
            <c:bubble3D val="0"/>
            <c:spPr>
              <a:solidFill>
                <a:srgbClr val="FFFF00"/>
              </a:solidFill>
              <a:scene3d>
                <a:camera prst="orthographicFront"/>
                <a:lightRig rig="threePt" dir="t"/>
              </a:scene3d>
              <a:sp3d prstMaterial="matte">
                <a:bevelT w="101600" prst="riblet"/>
                <a:bevelB w="101600" prst="riblet"/>
              </a:sp3d>
            </c:spPr>
          </c:dPt>
          <c:dPt>
            <c:idx val="4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  <a:scene3d>
                <a:camera prst="orthographicFront"/>
                <a:lightRig rig="threePt" dir="t"/>
              </a:scene3d>
              <a:sp3d prstMaterial="matte">
                <a:bevelT w="101600" prst="riblet"/>
                <a:bevelB w="101600" prst="riblet"/>
              </a:sp3d>
            </c:spPr>
          </c:dPt>
          <c:dPt>
            <c:idx val="5"/>
            <c:bubble3D val="0"/>
            <c:spPr>
              <a:solidFill>
                <a:srgbClr val="FF0000"/>
              </a:solidFill>
              <a:scene3d>
                <a:camera prst="orthographicFront"/>
                <a:lightRig rig="threePt" dir="t"/>
              </a:scene3d>
              <a:sp3d prstMaterial="matte">
                <a:bevelT w="101600" prst="riblet"/>
                <a:bevelB w="101600" prst="riblet"/>
              </a:sp3d>
            </c:spPr>
          </c:dPt>
          <c:dPt>
            <c:idx val="6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scene3d>
                <a:camera prst="orthographicFront"/>
                <a:lightRig rig="threePt" dir="t"/>
              </a:scene3d>
              <a:sp3d prstMaterial="matte">
                <a:bevelT w="101600" prst="riblet"/>
                <a:bevelB w="101600" prst="riblet"/>
              </a:sp3d>
            </c:spPr>
          </c:dPt>
          <c:dPt>
            <c:idx val="7"/>
            <c:bubble3D val="0"/>
            <c:explosion val="14"/>
          </c:dPt>
          <c:dPt>
            <c:idx val="8"/>
            <c:bubble3D val="0"/>
            <c:spPr>
              <a:solidFill>
                <a:srgbClr val="0070C0"/>
              </a:solidFill>
              <a:scene3d>
                <a:camera prst="orthographicFront"/>
                <a:lightRig rig="threePt" dir="t"/>
              </a:scene3d>
              <a:sp3d prstMaterial="matte">
                <a:bevelT w="101600" prst="riblet"/>
                <a:bevelB w="101600" prst="riblet"/>
              </a:sp3d>
            </c:spPr>
          </c:dPt>
          <c:dPt>
            <c:idx val="9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  <a:scene3d>
                <a:camera prst="orthographicFront"/>
                <a:lightRig rig="threePt" dir="t"/>
              </a:scene3d>
              <a:sp3d prstMaterial="matte">
                <a:bevelT w="101600" prst="riblet"/>
                <a:bevelB w="101600" prst="riblet"/>
              </a:sp3d>
            </c:spPr>
          </c:dPt>
          <c:dPt>
            <c:idx val="11"/>
            <c:bubble3D val="0"/>
            <c:spPr>
              <a:solidFill>
                <a:srgbClr val="703AF8"/>
              </a:solidFill>
              <a:scene3d>
                <a:camera prst="orthographicFront"/>
                <a:lightRig rig="threePt" dir="t"/>
              </a:scene3d>
              <a:sp3d prstMaterial="matte">
                <a:bevelT w="101600" prst="riblet"/>
                <a:bevelB w="101600" prst="riblet"/>
              </a:sp3d>
            </c:spPr>
          </c:dPt>
          <c:dPt>
            <c:idx val="12"/>
            <c:bubble3D val="0"/>
            <c:spPr>
              <a:solidFill>
                <a:schemeClr val="accent2">
                  <a:lumMod val="75000"/>
                </a:schemeClr>
              </a:solidFill>
              <a:scene3d>
                <a:camera prst="orthographicFront"/>
                <a:lightRig rig="threePt" dir="t"/>
              </a:scene3d>
              <a:sp3d prstMaterial="matte">
                <a:bevelT w="101600" prst="riblet"/>
                <a:bevelB w="101600" prst="riblet"/>
              </a:sp3d>
            </c:spPr>
          </c:dPt>
          <c:dPt>
            <c:idx val="13"/>
            <c:bubble3D val="0"/>
            <c:spPr>
              <a:solidFill>
                <a:srgbClr val="E4FC04"/>
              </a:solidFill>
              <a:scene3d>
                <a:camera prst="orthographicFront"/>
                <a:lightRig rig="threePt" dir="t"/>
              </a:scene3d>
              <a:sp3d prstMaterial="matte">
                <a:bevelT w="101600" prst="riblet"/>
                <a:bevelB w="101600" prst="riblet"/>
              </a:sp3d>
            </c:spPr>
          </c:dPt>
          <c:dPt>
            <c:idx val="14"/>
            <c:bubble3D val="0"/>
            <c:spPr>
              <a:solidFill>
                <a:srgbClr val="66FF33"/>
              </a:solidFill>
              <a:scene3d>
                <a:camera prst="orthographicFront"/>
                <a:lightRig rig="threePt" dir="t"/>
              </a:scene3d>
              <a:sp3d prstMaterial="matte">
                <a:bevelT w="101600" prst="riblet"/>
                <a:bevelB w="101600" prst="riblet"/>
              </a:sp3d>
            </c:spPr>
          </c:dPt>
          <c:dLbls>
            <c:dLbl>
              <c:idx val="0"/>
              <c:layout>
                <c:manualLayout>
                  <c:x val="-6.4285235214422726E-2"/>
                  <c:y val="-0.11657138754609159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Рыболовство, рыбоводство; 17,2%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9464021426623206E-2"/>
                  <c:y val="-0.10950185792441089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Сельское хозяйство, охота и лесное хозяйство; 0,1%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0805993000874891E-2"/>
                  <c:y val="3.1979340281348953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Добыча полезных ископаемых; 13,1%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0785396617089532E-2"/>
                  <c:y val="1.7895864182706115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Обрабатывающие производства; 1,3%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6.3540421790086385E-2"/>
                  <c:y val="8.3328579901298133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Производство и распределение электроэнергии, ...; 10,0%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3.896872265966754E-2"/>
                  <c:y val="0.21649587812753535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Строительство; 0,4%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1644258530183727"/>
                  <c:y val="5.7295683064428268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Оптовая и розничная торговля...; 1,0%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8.2808763487897341E-2"/>
                  <c:y val="0.2072514180582333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Транспорт и связь; 18,0%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752770487022456E-2"/>
                  <c:y val="0.13918141715262081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 b="0">
                        <a:latin typeface="Times New Roman" pitchFamily="18" charset="0"/>
                        <a:cs typeface="Times New Roman" pitchFamily="18" charset="0"/>
                      </a:rPr>
                      <a:t>Финансовая деятельность; 0,7%</a:t>
                    </a:r>
                    <a:endParaRPr lang="ru-RU" sz="1000" b="0"/>
                  </a:p>
                </c:rich>
              </c:tx>
              <c:spPr/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0.1036550449766496"/>
                  <c:y val="0.10801902929639076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Финансовая деятельность; 0,7%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9.726888305628463E-2"/>
                  <c:y val="6.3364288895187484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Операции с недвижимым имуществом, аренда ...г; 10,7%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2199256342957132E-2"/>
                  <c:y val="-1.4604594877246441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Госуправление; 6,5%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0.197749343832021"/>
                  <c:y val="-6.6184510393572774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Образование; 7,5%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3.8116068824730243E-3"/>
                  <c:y val="-4.1707060812011143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Здравоохранение и предоставление социальных услуг; 8,6%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2.590689792396094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Предоставление прочих коммунальных, социальных и персональных услуг; 4,9%</a:t>
                    </a:r>
                    <a:endParaRPr lang="ru-RU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Лист1!$A$5:$A$18</c:f>
              <c:strCache>
                <c:ptCount val="14"/>
                <c:pt idx="0">
                  <c:v>Рыболовство, рыбоводство</c:v>
                </c:pt>
                <c:pt idx="1">
                  <c:v>Сельское хозяйство, охота и лесное хозяйство</c:v>
                </c:pt>
                <c:pt idx="2">
                  <c:v>Добыча полезных ископаемых</c:v>
                </c:pt>
                <c:pt idx="3">
                  <c:v>Обрабатывающие производства</c:v>
                </c:pt>
                <c:pt idx="4">
                  <c:v>Производство и распределение электроэнергии, газа и воды </c:v>
                </c:pt>
                <c:pt idx="5">
                  <c:v>Строительство</c:v>
                </c:pt>
                <c:pt idx="6">
                  <c:v>Оптовая и розничная торговля; ремонт автотранспортных средств, мотоциклов, бытовых изделий и предметов личного пользования</c:v>
                </c:pt>
                <c:pt idx="7">
                  <c:v>Транспорт и связь</c:v>
                </c:pt>
                <c:pt idx="8">
                  <c:v>Финансовая деятельность</c:v>
                </c:pt>
                <c:pt idx="9">
                  <c:v>Операции с недвижимым имуществом, аренда и предоставление услуг</c:v>
                </c:pt>
                <c:pt idx="10">
                  <c:v>Госуправление</c:v>
                </c:pt>
                <c:pt idx="11">
                  <c:v>Образование</c:v>
                </c:pt>
                <c:pt idx="12">
                  <c:v>Здравоохранение и предоставление социальных услуг</c:v>
                </c:pt>
                <c:pt idx="13">
                  <c:v>Предоставление прочих коммунальных, социальных и персональных услуг</c:v>
                </c:pt>
              </c:strCache>
            </c:strRef>
          </c:cat>
          <c:val>
            <c:numRef>
              <c:f>Лист1!$C$5:$C$18</c:f>
              <c:numCache>
                <c:formatCode>0.0</c:formatCode>
                <c:ptCount val="14"/>
                <c:pt idx="0">
                  <c:v>17.197582195014121</c:v>
                </c:pt>
                <c:pt idx="1">
                  <c:v>8.5544116018072852E-2</c:v>
                </c:pt>
                <c:pt idx="2">
                  <c:v>13.056418110508389</c:v>
                </c:pt>
                <c:pt idx="3">
                  <c:v>1.3397719778558508</c:v>
                </c:pt>
                <c:pt idx="4">
                  <c:v>9.9888911840134522</c:v>
                </c:pt>
                <c:pt idx="5">
                  <c:v>0.3848227701531407</c:v>
                </c:pt>
                <c:pt idx="6">
                  <c:v>1.0206791938186039</c:v>
                </c:pt>
                <c:pt idx="7">
                  <c:v>17.977342564326758</c:v>
                </c:pt>
                <c:pt idx="8">
                  <c:v>0.73775922529813875</c:v>
                </c:pt>
                <c:pt idx="9">
                  <c:v>10.650171367073268</c:v>
                </c:pt>
                <c:pt idx="10">
                  <c:v>6.5460876989573205</c:v>
                </c:pt>
                <c:pt idx="11">
                  <c:v>7.5352086262760949</c:v>
                </c:pt>
                <c:pt idx="12">
                  <c:v>8.6028643664852957</c:v>
                </c:pt>
                <c:pt idx="13">
                  <c:v>4.8768566042014916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solidFill>
      <a:schemeClr val="bg1"/>
    </a:solidFill>
    <a:ln>
      <a:noFill/>
    </a:ln>
  </c:sp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194113403138014"/>
          <c:y val="2.2106083207858947E-2"/>
          <c:w val="0.79981677373486026"/>
          <c:h val="0.7672761006937589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Лист1!$A$4</c:f>
              <c:strCache>
                <c:ptCount val="1"/>
                <c:pt idx="0">
                  <c:v>Инвестиции в основной капитал крупных и средних организаций, млн рублей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>
              <a:solidFill>
                <a:schemeClr val="tx2">
                  <a:lumMod val="60000"/>
                  <a:lumOff val="40000"/>
                </a:schemeClr>
              </a:solidFill>
            </a:ln>
            <a:effectLst/>
          </c:spPr>
          <c:invertIfNegative val="0"/>
          <c:dPt>
            <c:idx val="3"/>
            <c:invertIfNegative val="0"/>
            <c:bubble3D val="0"/>
            <c:spPr>
              <a:solidFill>
                <a:schemeClr val="accent1">
                  <a:lumMod val="20000"/>
                  <a:lumOff val="80000"/>
                </a:schemeClr>
              </a:solidFill>
              <a:ln>
                <a:solidFill>
                  <a:schemeClr val="tx2">
                    <a:lumMod val="60000"/>
                    <a:lumOff val="40000"/>
                  </a:schemeClr>
                </a:solidFill>
              </a:ln>
              <a:effectLst/>
            </c:spPr>
          </c:dPt>
          <c:dPt>
            <c:idx val="5"/>
            <c:invertIfNegative val="0"/>
            <c:bubble3D val="0"/>
            <c:spPr>
              <a:solidFill>
                <a:schemeClr val="accent1">
                  <a:lumMod val="20000"/>
                  <a:lumOff val="80000"/>
                </a:schemeClr>
              </a:solidFill>
              <a:ln>
                <a:solidFill>
                  <a:schemeClr val="tx2">
                    <a:lumMod val="60000"/>
                    <a:lumOff val="40000"/>
                  </a:schemeClr>
                </a:solidFill>
              </a:ln>
              <a:effectLst/>
            </c:spPr>
          </c:dPt>
          <c:dPt>
            <c:idx val="7"/>
            <c:invertIfNegative val="0"/>
            <c:bubble3D val="0"/>
            <c:spPr>
              <a:solidFill>
                <a:schemeClr val="accent1">
                  <a:lumMod val="20000"/>
                  <a:lumOff val="80000"/>
                </a:schemeClr>
              </a:solidFill>
              <a:ln>
                <a:solidFill>
                  <a:schemeClr val="tx2">
                    <a:lumMod val="60000"/>
                    <a:lumOff val="40000"/>
                  </a:schemeClr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-2.7780630203839661E-3"/>
                  <c:y val="0.3180456039713953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7778195070222614E-3"/>
                  <c:y val="0.1854143449538335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8.3333333333333367E-3"/>
                  <c:y val="9.99801506796050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5.2148229702047926E-4"/>
                  <c:y val="0.3729132532393352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1111111111111124E-2"/>
                  <c:y val="0.1114909437853349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0484536027905549E-3"/>
                  <c:y val="0.4131938500665509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"/>
                  <c:y val="0.1161203370336051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7.4083092053376244E-4"/>
                  <c:y val="0.448955971590968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Лист1!$B$3:$I$3</c:f>
              <c:strCache>
                <c:ptCount val="8"/>
                <c:pt idx="0">
                  <c:v>2015</c:v>
                </c:pt>
                <c:pt idx="1">
                  <c:v>2016 (оценка)</c:v>
                </c:pt>
                <c:pt idx="2">
                  <c:v>1 вар. 2017</c:v>
                </c:pt>
                <c:pt idx="3">
                  <c:v>2 вар. 2017</c:v>
                </c:pt>
                <c:pt idx="4">
                  <c:v>1 вар. 2018</c:v>
                </c:pt>
                <c:pt idx="5">
                  <c:v>2 вар. 2018</c:v>
                </c:pt>
                <c:pt idx="6">
                  <c:v>1 вар. 2019</c:v>
                </c:pt>
                <c:pt idx="7">
                  <c:v>2 вар. 2019 </c:v>
                </c:pt>
              </c:strCache>
            </c:strRef>
          </c:cat>
          <c:val>
            <c:numRef>
              <c:f>Лист1!$B$4:$I$4</c:f>
              <c:numCache>
                <c:formatCode>#,##0.00</c:formatCode>
                <c:ptCount val="8"/>
                <c:pt idx="0">
                  <c:v>9144.7000000000007</c:v>
                </c:pt>
                <c:pt idx="1">
                  <c:v>9570.6</c:v>
                </c:pt>
                <c:pt idx="2">
                  <c:v>9922.6107476139823</c:v>
                </c:pt>
                <c:pt idx="3">
                  <c:v>11533.16</c:v>
                </c:pt>
                <c:pt idx="4">
                  <c:v>10446.290421474358</c:v>
                </c:pt>
                <c:pt idx="5">
                  <c:v>12367.69</c:v>
                </c:pt>
                <c:pt idx="6">
                  <c:v>10979.460727554073</c:v>
                </c:pt>
                <c:pt idx="7">
                  <c:v>13246.29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9"/>
        <c:overlap val="-27"/>
        <c:axId val="239020288"/>
        <c:axId val="239046656"/>
      </c:barChart>
      <c:lineChart>
        <c:grouping val="standard"/>
        <c:varyColors val="0"/>
        <c:ser>
          <c:idx val="1"/>
          <c:order val="1"/>
          <c:tx>
            <c:strRef>
              <c:f>Лист1!$A$5</c:f>
              <c:strCache>
                <c:ptCount val="1"/>
                <c:pt idx="0">
                  <c:v>Индекс физического объема, % (1 вариант)</c:v>
                </c:pt>
              </c:strCache>
            </c:strRef>
          </c:tx>
          <c:spPr>
            <a:ln w="28575" cap="rnd">
              <a:solidFill>
                <a:schemeClr val="accent2">
                  <a:lumMod val="75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75000"/>
                </a:schemeClr>
              </a:solidFill>
              <a:ln w="9525">
                <a:solidFill>
                  <a:schemeClr val="accent2">
                    <a:lumMod val="75000"/>
                  </a:schemeClr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8333333333333431E-2"/>
                  <c:y val="3.2407407407407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0.05"/>
                  <c:y val="4.27458286970416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722222222222227E-2"/>
                  <c:y val="4.42047688520959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Лист1!$B$3:$I$3</c:f>
              <c:strCache>
                <c:ptCount val="8"/>
                <c:pt idx="0">
                  <c:v>2015</c:v>
                </c:pt>
                <c:pt idx="1">
                  <c:v>2016 (оценка)</c:v>
                </c:pt>
                <c:pt idx="2">
                  <c:v>1 вар. 2017</c:v>
                </c:pt>
                <c:pt idx="3">
                  <c:v>2 вар. 2017</c:v>
                </c:pt>
                <c:pt idx="4">
                  <c:v>1 вар. 2018</c:v>
                </c:pt>
                <c:pt idx="5">
                  <c:v>2 вар. 2018</c:v>
                </c:pt>
                <c:pt idx="6">
                  <c:v>1 вар. 2019</c:v>
                </c:pt>
                <c:pt idx="7">
                  <c:v>2 вар. 2019 </c:v>
                </c:pt>
              </c:strCache>
            </c:strRef>
          </c:cat>
          <c:val>
            <c:numRef>
              <c:f>Лист1!$B$5:$I$5</c:f>
              <c:numCache>
                <c:formatCode>#,##0.00</c:formatCode>
                <c:ptCount val="8"/>
                <c:pt idx="0">
                  <c:v>76.73</c:v>
                </c:pt>
                <c:pt idx="1">
                  <c:v>95.84</c:v>
                </c:pt>
                <c:pt idx="2">
                  <c:v>99.18</c:v>
                </c:pt>
                <c:pt idx="3">
                  <c:v>99.5</c:v>
                </c:pt>
                <c:pt idx="4">
                  <c:v>100.36</c:v>
                </c:pt>
                <c:pt idx="5">
                  <c:v>100.3</c:v>
                </c:pt>
                <c:pt idx="6">
                  <c:v>100.29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Лист1!$A$6</c:f>
              <c:strCache>
                <c:ptCount val="1"/>
                <c:pt idx="0">
                  <c:v>Индекс физического объема, % (2 вариант)</c:v>
                </c:pt>
              </c:strCache>
            </c:strRef>
          </c:tx>
          <c:spPr>
            <a:ln w="28575" cap="rnd">
              <a:solidFill>
                <a:schemeClr val="accent6">
                  <a:lumMod val="60000"/>
                  <a:lumOff val="4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>
                  <a:lumMod val="60000"/>
                  <a:lumOff val="40000"/>
                </a:schemeClr>
              </a:solidFill>
              <a:ln w="9525">
                <a:solidFill>
                  <a:schemeClr val="accent6">
                    <a:lumMod val="60000"/>
                    <a:lumOff val="40000"/>
                  </a:schemeClr>
                </a:solidFill>
              </a:ln>
              <a:effectLst/>
            </c:spPr>
          </c:marker>
          <c:dPt>
            <c:idx val="0"/>
            <c:marker>
              <c:spPr>
                <a:solidFill>
                  <a:schemeClr val="accent2">
                    <a:lumMod val="75000"/>
                  </a:schemeClr>
                </a:solidFill>
                <a:ln w="9525">
                  <a:solidFill>
                    <a:schemeClr val="accent6">
                      <a:lumMod val="60000"/>
                      <a:lumOff val="40000"/>
                    </a:schemeClr>
                  </a:solidFill>
                </a:ln>
                <a:effectLst/>
              </c:spPr>
            </c:marker>
            <c:bubble3D val="0"/>
          </c:dPt>
          <c:dPt>
            <c:idx val="1"/>
            <c:marker>
              <c:spPr>
                <a:solidFill>
                  <a:schemeClr val="accent2">
                    <a:lumMod val="75000"/>
                  </a:schemeClr>
                </a:solidFill>
                <a:ln w="9525">
                  <a:solidFill>
                    <a:schemeClr val="accent6">
                      <a:lumMod val="60000"/>
                      <a:lumOff val="40000"/>
                    </a:schemeClr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4.722222222222227E-2"/>
                  <c:y val="-4.22062413876759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5000000000000094E-2"/>
                  <c:y val="-2.77777777777778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5555555555555552E-2"/>
                  <c:y val="-4.16666666666666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1666666666666664E-2"/>
                  <c:y val="-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1666666666666664E-2"/>
                  <c:y val="-3.7037037037037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itchFamily="18" charset="0"/>
                    <a:ea typeface="+mn-ea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Лист1!$B$3:$I$3</c:f>
              <c:strCache>
                <c:ptCount val="8"/>
                <c:pt idx="0">
                  <c:v>2015</c:v>
                </c:pt>
                <c:pt idx="1">
                  <c:v>2016 (оценка)</c:v>
                </c:pt>
                <c:pt idx="2">
                  <c:v>1 вар. 2017</c:v>
                </c:pt>
                <c:pt idx="3">
                  <c:v>2 вар. 2017</c:v>
                </c:pt>
                <c:pt idx="4">
                  <c:v>1 вар. 2018</c:v>
                </c:pt>
                <c:pt idx="5">
                  <c:v>2 вар. 2018</c:v>
                </c:pt>
                <c:pt idx="6">
                  <c:v>1 вар. 2019</c:v>
                </c:pt>
                <c:pt idx="7">
                  <c:v>2 вар. 2019 </c:v>
                </c:pt>
              </c:strCache>
            </c:strRef>
          </c:cat>
          <c:val>
            <c:numRef>
              <c:f>Лист1!$B$6:$I$6</c:f>
              <c:numCache>
                <c:formatCode>#,##0.00</c:formatCode>
                <c:ptCount val="8"/>
                <c:pt idx="0">
                  <c:v>76.73</c:v>
                </c:pt>
                <c:pt idx="1">
                  <c:v>95.84</c:v>
                </c:pt>
                <c:pt idx="2">
                  <c:v>105</c:v>
                </c:pt>
                <c:pt idx="3">
                  <c:v>113.9</c:v>
                </c:pt>
                <c:pt idx="4">
                  <c:v>105.8</c:v>
                </c:pt>
                <c:pt idx="5">
                  <c:v>102.52</c:v>
                </c:pt>
                <c:pt idx="6">
                  <c:v>102.5</c:v>
                </c:pt>
                <c:pt idx="7">
                  <c:v>102.59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39049728"/>
        <c:axId val="239048192"/>
      </c:lineChart>
      <c:catAx>
        <c:axId val="239020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/>
          </a:p>
        </c:txPr>
        <c:crossAx val="239046656"/>
        <c:crosses val="autoZero"/>
        <c:auto val="1"/>
        <c:lblAlgn val="ctr"/>
        <c:lblOffset val="100"/>
        <c:noMultiLvlLbl val="0"/>
      </c:catAx>
      <c:valAx>
        <c:axId val="239046656"/>
        <c:scaling>
          <c:orientation val="minMax"/>
          <c:max val="17000"/>
          <c:min val="-1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/>
          </a:p>
        </c:txPr>
        <c:crossAx val="239020288"/>
        <c:crosses val="autoZero"/>
        <c:crossBetween val="between"/>
        <c:majorUnit val="3000"/>
        <c:minorUnit val="1000"/>
      </c:valAx>
      <c:valAx>
        <c:axId val="239048192"/>
        <c:scaling>
          <c:orientation val="minMax"/>
          <c:max val="120"/>
          <c:min val="20"/>
        </c:scaling>
        <c:delete val="0"/>
        <c:axPos val="r"/>
        <c:numFmt formatCode="#,##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itchFamily="18" charset="0"/>
                <a:ea typeface="+mn-ea"/>
                <a:cs typeface="Times New Roman" pitchFamily="18" charset="0"/>
              </a:defRPr>
            </a:pPr>
            <a:endParaRPr lang="ru-RU"/>
          </a:p>
        </c:txPr>
        <c:crossAx val="239049728"/>
        <c:crosses val="max"/>
        <c:crossBetween val="between"/>
      </c:valAx>
      <c:catAx>
        <c:axId val="23904972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39048192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"/>
          <c:y val="0.86748103125671527"/>
          <c:w val="1"/>
          <c:h val="0.1325191181042945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иний II">
    <a:dk1>
      <a:sysClr val="windowText" lastClr="000000"/>
    </a:dk1>
    <a:lt1>
      <a:sysClr val="window" lastClr="FFFFFF"/>
    </a:lt1>
    <a:dk2>
      <a:srgbClr val="335B74"/>
    </a:dk2>
    <a:lt2>
      <a:srgbClr val="DFE3E5"/>
    </a:lt2>
    <a:accent1>
      <a:srgbClr val="1CADE4"/>
    </a:accent1>
    <a:accent2>
      <a:srgbClr val="2683C6"/>
    </a:accent2>
    <a:accent3>
      <a:srgbClr val="27CED7"/>
    </a:accent3>
    <a:accent4>
      <a:srgbClr val="42BA97"/>
    </a:accent4>
    <a:accent5>
      <a:srgbClr val="3E8853"/>
    </a:accent5>
    <a:accent6>
      <a:srgbClr val="62A39F"/>
    </a:accent6>
    <a:hlink>
      <a:srgbClr val="6EAC1C"/>
    </a:hlink>
    <a:folHlink>
      <a:srgbClr val="B26B02"/>
    </a:folHlink>
  </a:clrScheme>
  <a:fontScheme name="Сектор">
    <a:majorFont>
      <a:latin typeface="Century Gothic"/>
      <a:ea typeface=""/>
      <a:cs typeface=""/>
      <a:font script="Jpan" typeface="メイリオ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entury Gothic"/>
      <a:ea typeface=""/>
      <a:cs typeface=""/>
      <a:font script="Jpan" typeface="メイリオ"/>
      <a:font script="Hang" typeface="HY중고딕"/>
      <a:font script="Hans" typeface="幼圆"/>
      <a:font script="Hant" typeface="微軟正黑體"/>
      <a:font script="Arab" typeface="Tahoma"/>
      <a:font script="Hebr" typeface="Gisha"/>
      <a:font script="Thai" typeface="Dillenia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inorFont>
  </a:fontScheme>
  <a:fmtScheme name="Сектор">
    <a:fillStyleLst>
      <a:solidFill>
        <a:schemeClr val="phClr"/>
      </a:solidFill>
      <a:gradFill rotWithShape="1">
        <a:gsLst>
          <a:gs pos="0">
            <a:schemeClr val="phClr">
              <a:tint val="62000"/>
              <a:hueMod val="94000"/>
              <a:satMod val="140000"/>
              <a:lumMod val="110000"/>
            </a:schemeClr>
          </a:gs>
          <a:gs pos="100000">
            <a:schemeClr val="phClr">
              <a:tint val="84000"/>
              <a:satMod val="160000"/>
            </a:schemeClr>
          </a:gs>
        </a:gsLst>
        <a:lin ang="5400000" scaled="0"/>
      </a:gradFill>
      <a:gradFill rotWithShape="1">
        <a:gsLst>
          <a:gs pos="0">
            <a:schemeClr val="phClr">
              <a:tint val="98000"/>
              <a:hueMod val="94000"/>
              <a:satMod val="130000"/>
              <a:lumMod val="128000"/>
            </a:schemeClr>
          </a:gs>
          <a:gs pos="100000">
            <a:schemeClr val="phClr">
              <a:shade val="94000"/>
              <a:lumMod val="88000"/>
            </a:schemeClr>
          </a:gs>
        </a:gsLst>
        <a:lin ang="5400000" scaled="0"/>
      </a:gradFill>
    </a:fillStyleLst>
    <a:lnStyleLst>
      <a:ln w="9525" cap="rnd" cmpd="sng" algn="ctr">
        <a:solidFill>
          <a:schemeClr val="phClr">
            <a:tint val="76000"/>
            <a:alpha val="60000"/>
            <a:hueMod val="94000"/>
          </a:schemeClr>
        </a:solidFill>
        <a:prstDash val="solid"/>
      </a:ln>
      <a:ln w="15875" cap="rnd" cmpd="sng" algn="ctr">
        <a:solidFill>
          <a:schemeClr val="phClr">
            <a:hueMod val="94000"/>
          </a:schemeClr>
        </a:solidFill>
        <a:prstDash val="solid"/>
      </a:ln>
      <a:ln w="28575" cap="rnd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>
          <a:innerShdw blurRad="25400" dist="12700" dir="13500000">
            <a:srgbClr val="000000">
              <a:alpha val="45000"/>
            </a:srgbClr>
          </a:innerShdw>
        </a:effectLst>
      </a:effectStyle>
      <a:effectStyle>
        <a:effectLst>
          <a:outerShdw blurRad="50800" dist="38100" dir="5400000" rotWithShape="0">
            <a:srgbClr val="000000">
              <a:alpha val="46000"/>
            </a:srgbClr>
          </a:outerShdw>
        </a:effectLst>
        <a:scene3d>
          <a:camera prst="orthographicFront">
            <a:rot lat="0" lon="0" rev="0"/>
          </a:camera>
          <a:lightRig rig="threePt" dir="t"/>
        </a:scene3d>
        <a:sp3d prstMaterial="plastic">
          <a:bevelT w="25400" h="25400"/>
        </a:sp3d>
      </a:effectStyle>
    </a:effectStyleLst>
    <a:bgFillStyleLst>
      <a:solidFill>
        <a:schemeClr val="phClr"/>
      </a:solidFill>
      <a:gradFill rotWithShape="1">
        <a:gsLst>
          <a:gs pos="10000">
            <a:schemeClr val="phClr">
              <a:tint val="97000"/>
              <a:hueMod val="92000"/>
              <a:satMod val="169000"/>
              <a:lumMod val="164000"/>
            </a:schemeClr>
          </a:gs>
          <a:gs pos="100000">
            <a:schemeClr val="phClr">
              <a:shade val="96000"/>
              <a:satMod val="120000"/>
              <a:lumMod val="90000"/>
            </a:schemeClr>
          </a:gs>
        </a:gsLst>
        <a:lin ang="6120000" scaled="1"/>
      </a:gradFill>
      <a:gradFill rotWithShape="1">
        <a:gsLst>
          <a:gs pos="0">
            <a:schemeClr val="phClr">
              <a:tint val="97000"/>
              <a:hueMod val="92000"/>
              <a:satMod val="169000"/>
              <a:lumMod val="164000"/>
            </a:schemeClr>
          </a:gs>
          <a:gs pos="100000">
            <a:schemeClr val="phClr">
              <a:shade val="96000"/>
              <a:satMod val="120000"/>
              <a:lumMod val="90000"/>
            </a:schemeClr>
          </a:gs>
        </a:gsLst>
        <a:path path="circle">
          <a:fillToRect b="10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10824-92BE-4057-811B-33B5F82A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5421</TotalTime>
  <Pages>88</Pages>
  <Words>34372</Words>
  <Characters>195927</Characters>
  <Application>Microsoft Office Word</Application>
  <DocSecurity>0</DocSecurity>
  <Lines>1632</Lines>
  <Paragraphs>459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229840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NKazakova</dc:creator>
  <cp:lastModifiedBy>NKazakova</cp:lastModifiedBy>
  <cp:revision>113</cp:revision>
  <cp:lastPrinted>2016-11-06T21:36:00Z</cp:lastPrinted>
  <dcterms:created xsi:type="dcterms:W3CDTF">2016-09-14T20:00:00Z</dcterms:created>
  <dcterms:modified xsi:type="dcterms:W3CDTF">2016-11-06T22:02:00Z</dcterms:modified>
</cp:coreProperties>
</file>